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CE" w:rsidRPr="0046279F" w:rsidRDefault="00F338CE" w:rsidP="00EF1111">
      <w:pPr>
        <w:spacing w:after="200" w:line="276" w:lineRule="auto"/>
        <w:rPr>
          <w:rFonts w:cs="Arial"/>
        </w:rPr>
      </w:pPr>
      <w:r w:rsidRPr="0046279F">
        <w:rPr>
          <w:rFonts w:cs="Arial"/>
          <w:noProof/>
        </w:rPr>
        <w:drawing>
          <wp:inline distT="0" distB="0" distL="0" distR="0" wp14:anchorId="15E3B05E" wp14:editId="061A846C">
            <wp:extent cx="3038475" cy="904875"/>
            <wp:effectExtent l="0" t="0" r="9525" b="9525"/>
            <wp:docPr id="3" name="Afbeelding 3" descr="Logo GCR CMYK XXS"/>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pic:nvPicPr>
                  <pic:blipFill>
                    <a:blip r:embed="rId8">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p w:rsidR="00F338CE" w:rsidRPr="0046279F" w:rsidRDefault="00F338CE" w:rsidP="00EF1111">
      <w:pPr>
        <w:spacing w:after="200" w:line="276" w:lineRule="auto"/>
        <w:rPr>
          <w:rFonts w:cs="Arial"/>
        </w:rPr>
      </w:pPr>
    </w:p>
    <w:tbl>
      <w:tblPr>
        <w:tblW w:w="10086" w:type="dxa"/>
        <w:tblCellMar>
          <w:left w:w="70" w:type="dxa"/>
          <w:right w:w="70" w:type="dxa"/>
        </w:tblCellMar>
        <w:tblLook w:val="04A0" w:firstRow="1" w:lastRow="0" w:firstColumn="1" w:lastColumn="0" w:noHBand="0" w:noVBand="1"/>
      </w:tblPr>
      <w:tblGrid>
        <w:gridCol w:w="1466"/>
        <w:gridCol w:w="284"/>
        <w:gridCol w:w="4166"/>
        <w:gridCol w:w="204"/>
        <w:gridCol w:w="2647"/>
        <w:gridCol w:w="1319"/>
      </w:tblGrid>
      <w:tr w:rsidR="00F338CE" w:rsidRPr="0046279F" w:rsidTr="00F338CE">
        <w:trPr>
          <w:trHeight w:val="567"/>
        </w:trPr>
        <w:tc>
          <w:tcPr>
            <w:tcW w:w="1466" w:type="dxa"/>
            <w:hideMark/>
          </w:tcPr>
          <w:p w:rsidR="00F338CE" w:rsidRPr="0046279F" w:rsidRDefault="00F338CE">
            <w:pPr>
              <w:pStyle w:val="GDAGeenafstandBold"/>
              <w:spacing w:line="256" w:lineRule="auto"/>
              <w:rPr>
                <w:rFonts w:eastAsiaTheme="minorEastAsia"/>
                <w:sz w:val="20"/>
                <w:szCs w:val="20"/>
              </w:rPr>
            </w:pPr>
            <w:proofErr w:type="spellStart"/>
            <w:r w:rsidRPr="0046279F">
              <w:rPr>
                <w:rFonts w:eastAsiaTheme="minorEastAsia"/>
                <w:sz w:val="20"/>
                <w:szCs w:val="20"/>
              </w:rPr>
              <w:t>Vergadering</w:t>
            </w:r>
            <w:proofErr w:type="spellEnd"/>
          </w:p>
        </w:tc>
        <w:tc>
          <w:tcPr>
            <w:tcW w:w="284" w:type="dxa"/>
          </w:tcPr>
          <w:p w:rsidR="00F338CE" w:rsidRPr="0046279F" w:rsidRDefault="00F338CE">
            <w:pPr>
              <w:pStyle w:val="GDASubreferentiekop"/>
              <w:spacing w:line="256" w:lineRule="auto"/>
              <w:rPr>
                <w:rFonts w:eastAsiaTheme="minorEastAsia"/>
                <w:sz w:val="20"/>
                <w:szCs w:val="20"/>
              </w:rPr>
            </w:pPr>
          </w:p>
        </w:tc>
        <w:tc>
          <w:tcPr>
            <w:tcW w:w="4166" w:type="dxa"/>
            <w:hideMark/>
          </w:tcPr>
          <w:p w:rsidR="00F338CE" w:rsidRPr="0046279F" w:rsidRDefault="00F338CE">
            <w:pPr>
              <w:pStyle w:val="GDASubreferentiekop"/>
              <w:spacing w:line="256" w:lineRule="auto"/>
              <w:rPr>
                <w:rFonts w:eastAsiaTheme="minorEastAsia"/>
                <w:bCs/>
                <w:sz w:val="20"/>
                <w:szCs w:val="20"/>
                <w:lang w:val="nl-NL"/>
              </w:rPr>
            </w:pPr>
            <w:r w:rsidRPr="0046279F">
              <w:rPr>
                <w:rStyle w:val="GDAReferentiekopChar"/>
                <w:rFonts w:eastAsiaTheme="minorEastAsia"/>
                <w:sz w:val="20"/>
                <w:szCs w:val="20"/>
                <w:lang w:val="nl-NL"/>
              </w:rPr>
              <w:t>26 oktober</w:t>
            </w:r>
            <w:r w:rsidRPr="0046279F">
              <w:rPr>
                <w:rStyle w:val="GDAReferentiekopChar"/>
                <w:rFonts w:eastAsiaTheme="minorEastAsia"/>
                <w:sz w:val="20"/>
                <w:szCs w:val="20"/>
                <w:lang w:val="nl-NL"/>
              </w:rPr>
              <w:t xml:space="preserve"> 2023, 10:30 – 12:30 uur</w:t>
            </w:r>
          </w:p>
          <w:p w:rsidR="00F338CE" w:rsidRPr="0046279F" w:rsidRDefault="00F338CE">
            <w:pPr>
              <w:pStyle w:val="GDASubreferentiekop"/>
              <w:spacing w:line="256" w:lineRule="auto"/>
              <w:rPr>
                <w:rFonts w:eastAsiaTheme="minorEastAsia"/>
                <w:b/>
                <w:sz w:val="20"/>
                <w:szCs w:val="20"/>
                <w:lang w:val="nl-NL"/>
              </w:rPr>
            </w:pPr>
            <w:r w:rsidRPr="0046279F">
              <w:rPr>
                <w:rStyle w:val="GDAReferentiekopChar"/>
                <w:rFonts w:eastAsiaTheme="minorEastAsia"/>
                <w:sz w:val="20"/>
                <w:szCs w:val="20"/>
                <w:lang w:val="nl-NL"/>
              </w:rPr>
              <w:t>locatie:</w:t>
            </w:r>
            <w:r w:rsidRPr="0046279F">
              <w:rPr>
                <w:rFonts w:eastAsiaTheme="minorEastAsia"/>
                <w:sz w:val="20"/>
                <w:szCs w:val="20"/>
                <w:lang w:val="nl-NL"/>
              </w:rPr>
              <w:t xml:space="preserve"> Huis van de Stad 2.1</w:t>
            </w:r>
          </w:p>
        </w:tc>
        <w:tc>
          <w:tcPr>
            <w:tcW w:w="204" w:type="dxa"/>
          </w:tcPr>
          <w:p w:rsidR="00F338CE" w:rsidRPr="0046279F" w:rsidRDefault="00F338CE">
            <w:pPr>
              <w:pStyle w:val="GDASubreferentiekop"/>
              <w:spacing w:line="256" w:lineRule="auto"/>
              <w:rPr>
                <w:rFonts w:eastAsiaTheme="minorEastAsia"/>
                <w:sz w:val="20"/>
                <w:szCs w:val="20"/>
                <w:lang w:val="nl-NL"/>
              </w:rPr>
            </w:pPr>
          </w:p>
          <w:p w:rsidR="00F338CE" w:rsidRPr="0046279F" w:rsidRDefault="00F338CE">
            <w:pPr>
              <w:pStyle w:val="GDASubreferentiekop"/>
              <w:spacing w:line="256" w:lineRule="auto"/>
              <w:rPr>
                <w:rFonts w:eastAsiaTheme="minorEastAsia"/>
                <w:sz w:val="20"/>
                <w:szCs w:val="20"/>
                <w:lang w:val="nl-NL"/>
              </w:rPr>
            </w:pPr>
          </w:p>
        </w:tc>
        <w:tc>
          <w:tcPr>
            <w:tcW w:w="3966" w:type="dxa"/>
            <w:gridSpan w:val="2"/>
          </w:tcPr>
          <w:p w:rsidR="00F338CE" w:rsidRPr="0046279F" w:rsidRDefault="00F338CE">
            <w:pPr>
              <w:pStyle w:val="GDASubreferentiekop"/>
              <w:spacing w:line="256" w:lineRule="auto"/>
              <w:rPr>
                <w:rFonts w:eastAsiaTheme="minorEastAsia"/>
                <w:sz w:val="20"/>
                <w:szCs w:val="20"/>
                <w:lang w:val="nl-NL"/>
              </w:rPr>
            </w:pPr>
          </w:p>
          <w:p w:rsidR="00F338CE" w:rsidRPr="0046279F" w:rsidRDefault="00F338CE">
            <w:pPr>
              <w:pStyle w:val="GDASubreferentiekop"/>
              <w:spacing w:line="256" w:lineRule="auto"/>
              <w:rPr>
                <w:rFonts w:eastAsiaTheme="minorEastAsia"/>
                <w:sz w:val="20"/>
                <w:szCs w:val="20"/>
                <w:lang w:val="nl-NL"/>
              </w:rPr>
            </w:pPr>
          </w:p>
        </w:tc>
      </w:tr>
      <w:tr w:rsidR="00F338CE" w:rsidRPr="0046279F" w:rsidTr="00F338CE">
        <w:trPr>
          <w:trHeight w:val="278"/>
        </w:trPr>
        <w:tc>
          <w:tcPr>
            <w:tcW w:w="1466" w:type="dxa"/>
          </w:tcPr>
          <w:p w:rsidR="00F338CE" w:rsidRPr="0046279F" w:rsidRDefault="00F338CE">
            <w:pPr>
              <w:pStyle w:val="GDASubreferentiekop"/>
              <w:spacing w:line="256" w:lineRule="auto"/>
              <w:rPr>
                <w:rFonts w:eastAsiaTheme="minorHAnsi"/>
                <w:sz w:val="20"/>
                <w:szCs w:val="20"/>
                <w:lang w:val="nl-NL" w:eastAsia="nl-NL"/>
              </w:rPr>
            </w:pPr>
          </w:p>
        </w:tc>
        <w:tc>
          <w:tcPr>
            <w:tcW w:w="284" w:type="dxa"/>
          </w:tcPr>
          <w:p w:rsidR="00F338CE" w:rsidRPr="0046279F" w:rsidRDefault="00F338CE">
            <w:pPr>
              <w:pStyle w:val="GDASubreferentiekop"/>
              <w:spacing w:line="256" w:lineRule="auto"/>
              <w:rPr>
                <w:sz w:val="20"/>
                <w:szCs w:val="20"/>
                <w:lang w:val="nl-NL" w:eastAsia="nl-NL"/>
              </w:rPr>
            </w:pPr>
          </w:p>
        </w:tc>
        <w:tc>
          <w:tcPr>
            <w:tcW w:w="4166" w:type="dxa"/>
            <w:vAlign w:val="bottom"/>
          </w:tcPr>
          <w:p w:rsidR="00F338CE" w:rsidRPr="0046279F" w:rsidRDefault="00F338CE">
            <w:pPr>
              <w:pStyle w:val="GDASubreferentiekop"/>
              <w:spacing w:line="256" w:lineRule="auto"/>
              <w:rPr>
                <w:sz w:val="20"/>
                <w:szCs w:val="20"/>
                <w:lang w:val="nl-NL" w:eastAsia="nl-NL"/>
              </w:rPr>
            </w:pPr>
          </w:p>
        </w:tc>
        <w:tc>
          <w:tcPr>
            <w:tcW w:w="204" w:type="dxa"/>
          </w:tcPr>
          <w:p w:rsidR="00F338CE" w:rsidRPr="0046279F" w:rsidRDefault="00F338CE">
            <w:pPr>
              <w:pStyle w:val="GDASubreferentiekop"/>
              <w:spacing w:line="256" w:lineRule="auto"/>
              <w:rPr>
                <w:sz w:val="20"/>
                <w:szCs w:val="20"/>
                <w:lang w:val="nl-NL" w:eastAsia="nl-NL"/>
              </w:rPr>
            </w:pPr>
          </w:p>
        </w:tc>
        <w:tc>
          <w:tcPr>
            <w:tcW w:w="3966" w:type="dxa"/>
            <w:gridSpan w:val="2"/>
          </w:tcPr>
          <w:p w:rsidR="00F338CE" w:rsidRPr="0046279F" w:rsidRDefault="00F338CE">
            <w:pPr>
              <w:pStyle w:val="GDASubreferentiekop"/>
              <w:spacing w:line="256" w:lineRule="auto"/>
              <w:rPr>
                <w:rFonts w:eastAsiaTheme="minorEastAsia"/>
                <w:sz w:val="20"/>
                <w:szCs w:val="20"/>
                <w:lang w:val="nl-NL"/>
              </w:rPr>
            </w:pPr>
          </w:p>
        </w:tc>
      </w:tr>
      <w:tr w:rsidR="00F338CE" w:rsidRPr="0046279F" w:rsidTr="00F338CE">
        <w:trPr>
          <w:gridAfter w:val="1"/>
          <w:wAfter w:w="1319" w:type="dxa"/>
          <w:trHeight w:val="334"/>
        </w:trPr>
        <w:tc>
          <w:tcPr>
            <w:tcW w:w="1466" w:type="dxa"/>
          </w:tcPr>
          <w:p w:rsidR="00F338CE" w:rsidRPr="0046279F" w:rsidRDefault="00F338CE">
            <w:pPr>
              <w:pStyle w:val="GDAGeenafstandBold"/>
              <w:spacing w:line="256" w:lineRule="auto"/>
              <w:rPr>
                <w:rFonts w:eastAsiaTheme="minorEastAsia"/>
                <w:sz w:val="20"/>
                <w:szCs w:val="20"/>
              </w:rPr>
            </w:pPr>
            <w:proofErr w:type="spellStart"/>
            <w:r w:rsidRPr="0046279F">
              <w:rPr>
                <w:rFonts w:eastAsiaTheme="minorEastAsia"/>
                <w:sz w:val="20"/>
                <w:szCs w:val="20"/>
              </w:rPr>
              <w:t>Aanwezig</w:t>
            </w:r>
            <w:proofErr w:type="spellEnd"/>
            <w:r w:rsidRPr="0046279F">
              <w:rPr>
                <w:rFonts w:eastAsiaTheme="minorEastAsia"/>
                <w:sz w:val="20"/>
                <w:szCs w:val="20"/>
              </w:rPr>
              <w:t xml:space="preserve"> </w:t>
            </w: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
          <w:p w:rsidR="00F338CE" w:rsidRPr="0046279F" w:rsidRDefault="00F338CE">
            <w:pPr>
              <w:pStyle w:val="GDAGeenafstandBold"/>
              <w:spacing w:line="256" w:lineRule="auto"/>
              <w:rPr>
                <w:rFonts w:eastAsiaTheme="minorEastAsia"/>
                <w:sz w:val="20"/>
                <w:szCs w:val="20"/>
              </w:rPr>
            </w:pPr>
            <w:proofErr w:type="spellStart"/>
            <w:r w:rsidRPr="0046279F">
              <w:rPr>
                <w:rFonts w:eastAsiaTheme="minorEastAsia"/>
                <w:sz w:val="20"/>
                <w:szCs w:val="20"/>
              </w:rPr>
              <w:t>Verhinderd</w:t>
            </w:r>
            <w:proofErr w:type="spellEnd"/>
          </w:p>
          <w:p w:rsidR="0046279F" w:rsidRPr="0046279F" w:rsidRDefault="0046279F">
            <w:pPr>
              <w:pStyle w:val="GDAGeenafstandBold"/>
              <w:spacing w:line="256" w:lineRule="auto"/>
              <w:rPr>
                <w:rFonts w:eastAsiaTheme="minorEastAsia"/>
                <w:sz w:val="20"/>
                <w:szCs w:val="20"/>
              </w:rPr>
            </w:pPr>
          </w:p>
          <w:p w:rsidR="0046279F" w:rsidRPr="0046279F" w:rsidRDefault="0046279F" w:rsidP="0046279F">
            <w:pPr>
              <w:rPr>
                <w:rFonts w:eastAsiaTheme="minorEastAsia" w:cs="Arial"/>
                <w:lang w:val="en-US" w:eastAsia="en-US" w:bidi="en-US"/>
              </w:rPr>
            </w:pPr>
          </w:p>
          <w:p w:rsidR="00F338CE" w:rsidRDefault="0046279F" w:rsidP="0046279F">
            <w:pPr>
              <w:jc w:val="center"/>
              <w:rPr>
                <w:rFonts w:eastAsiaTheme="minorEastAsia" w:cs="Arial"/>
                <w:b/>
                <w:lang w:val="en-US" w:eastAsia="en-US" w:bidi="en-US"/>
              </w:rPr>
            </w:pPr>
            <w:r w:rsidRPr="0046279F">
              <w:rPr>
                <w:rFonts w:eastAsiaTheme="minorEastAsia" w:cs="Arial"/>
                <w:b/>
                <w:lang w:val="en-US" w:eastAsia="en-US" w:bidi="en-US"/>
              </w:rPr>
              <w:t>GASD</w:t>
            </w:r>
          </w:p>
          <w:p w:rsidR="0046279F" w:rsidRDefault="0046279F" w:rsidP="0046279F">
            <w:pPr>
              <w:jc w:val="center"/>
              <w:rPr>
                <w:rFonts w:eastAsiaTheme="minorEastAsia" w:cs="Arial"/>
                <w:b/>
                <w:lang w:val="en-US" w:eastAsia="en-US" w:bidi="en-US"/>
              </w:rPr>
            </w:pPr>
          </w:p>
          <w:p w:rsidR="0046279F" w:rsidRPr="0046279F" w:rsidRDefault="0046279F" w:rsidP="0046279F">
            <w:pPr>
              <w:jc w:val="center"/>
              <w:rPr>
                <w:rFonts w:eastAsiaTheme="minorEastAsia" w:cs="Arial"/>
                <w:b/>
                <w:lang w:val="en-US" w:eastAsia="en-US" w:bidi="en-US"/>
              </w:rPr>
            </w:pPr>
            <w:proofErr w:type="spellStart"/>
            <w:r>
              <w:rPr>
                <w:rFonts w:eastAsiaTheme="minorEastAsia" w:cs="Arial"/>
                <w:b/>
                <w:lang w:val="en-US" w:eastAsia="en-US" w:bidi="en-US"/>
              </w:rPr>
              <w:t>Notulist</w:t>
            </w:r>
            <w:proofErr w:type="spellEnd"/>
          </w:p>
        </w:tc>
        <w:tc>
          <w:tcPr>
            <w:tcW w:w="284" w:type="dxa"/>
          </w:tcPr>
          <w:p w:rsidR="00F338CE" w:rsidRPr="0046279F" w:rsidRDefault="00F338CE">
            <w:pPr>
              <w:pStyle w:val="GDASubreferentiekop"/>
              <w:spacing w:line="256" w:lineRule="auto"/>
              <w:rPr>
                <w:rFonts w:eastAsiaTheme="minorEastAsia"/>
                <w:sz w:val="20"/>
                <w:szCs w:val="20"/>
              </w:rPr>
            </w:pPr>
          </w:p>
        </w:tc>
        <w:tc>
          <w:tcPr>
            <w:tcW w:w="7017" w:type="dxa"/>
            <w:gridSpan w:val="3"/>
          </w:tcPr>
          <w:p w:rsidR="00F338CE" w:rsidRPr="0046279F" w:rsidRDefault="00F338CE">
            <w:pPr>
              <w:pStyle w:val="GDASubreferentiekop"/>
              <w:spacing w:line="256" w:lineRule="auto"/>
              <w:rPr>
                <w:rFonts w:eastAsiaTheme="minorEastAsia"/>
                <w:sz w:val="20"/>
                <w:szCs w:val="20"/>
                <w:lang w:val="nl-NL"/>
              </w:rPr>
            </w:pPr>
            <w:r w:rsidRPr="0046279F">
              <w:rPr>
                <w:rFonts w:eastAsiaTheme="minorEastAsia"/>
                <w:sz w:val="20"/>
                <w:szCs w:val="20"/>
                <w:lang w:val="nl-NL"/>
              </w:rPr>
              <w:t>Ton de Korte (voorzitter)</w:t>
            </w:r>
          </w:p>
          <w:p w:rsidR="00F338CE" w:rsidRPr="0046279F" w:rsidRDefault="00F338CE">
            <w:pPr>
              <w:pStyle w:val="GDASubreferentiekop"/>
              <w:spacing w:line="256" w:lineRule="auto"/>
              <w:rPr>
                <w:rFonts w:eastAsiaTheme="minorEastAsia"/>
                <w:sz w:val="20"/>
                <w:szCs w:val="20"/>
              </w:rPr>
            </w:pPr>
            <w:r w:rsidRPr="0046279F">
              <w:rPr>
                <w:rFonts w:eastAsiaTheme="minorEastAsia"/>
                <w:sz w:val="20"/>
                <w:szCs w:val="20"/>
              </w:rPr>
              <w:t xml:space="preserve">Cora </w:t>
            </w:r>
            <w:proofErr w:type="spellStart"/>
            <w:r w:rsidRPr="0046279F">
              <w:rPr>
                <w:rFonts w:eastAsiaTheme="minorEastAsia"/>
                <w:sz w:val="20"/>
                <w:szCs w:val="20"/>
              </w:rPr>
              <w:t>Boxma</w:t>
            </w:r>
            <w:proofErr w:type="spellEnd"/>
          </w:p>
          <w:p w:rsidR="00F338CE" w:rsidRPr="0046279F" w:rsidRDefault="00F338CE">
            <w:pPr>
              <w:pStyle w:val="GDASubreferentiekop"/>
              <w:spacing w:line="256" w:lineRule="auto"/>
              <w:rPr>
                <w:rFonts w:eastAsiaTheme="minorEastAsia"/>
                <w:sz w:val="20"/>
                <w:szCs w:val="20"/>
              </w:rPr>
            </w:pPr>
            <w:r w:rsidRPr="0046279F">
              <w:rPr>
                <w:rFonts w:eastAsiaTheme="minorEastAsia"/>
                <w:sz w:val="20"/>
                <w:szCs w:val="20"/>
              </w:rPr>
              <w:t>Carla Weller</w:t>
            </w:r>
          </w:p>
          <w:p w:rsidR="00F338CE" w:rsidRPr="0046279F" w:rsidRDefault="00F338CE">
            <w:pPr>
              <w:pStyle w:val="GDASubreferentiekop"/>
              <w:spacing w:line="256" w:lineRule="auto"/>
              <w:rPr>
                <w:rFonts w:eastAsiaTheme="minorEastAsia"/>
                <w:sz w:val="20"/>
                <w:szCs w:val="20"/>
              </w:rPr>
            </w:pPr>
            <w:r w:rsidRPr="0046279F">
              <w:rPr>
                <w:rFonts w:eastAsiaTheme="minorEastAsia"/>
                <w:sz w:val="20"/>
                <w:szCs w:val="20"/>
              </w:rPr>
              <w:t xml:space="preserve">Guido </w:t>
            </w:r>
            <w:proofErr w:type="spellStart"/>
            <w:r w:rsidRPr="0046279F">
              <w:rPr>
                <w:rFonts w:eastAsiaTheme="minorEastAsia"/>
                <w:sz w:val="20"/>
                <w:szCs w:val="20"/>
              </w:rPr>
              <w:t>Prinsenberg</w:t>
            </w:r>
            <w:proofErr w:type="spellEnd"/>
          </w:p>
          <w:p w:rsidR="00F338CE" w:rsidRPr="0046279F" w:rsidRDefault="00F338CE">
            <w:pPr>
              <w:pStyle w:val="GDASubreferentiekop"/>
              <w:spacing w:line="256" w:lineRule="auto"/>
              <w:rPr>
                <w:rFonts w:eastAsiaTheme="minorEastAsia"/>
                <w:sz w:val="20"/>
                <w:szCs w:val="20"/>
                <w:lang w:val="nl-NL"/>
              </w:rPr>
            </w:pPr>
            <w:r w:rsidRPr="0046279F">
              <w:rPr>
                <w:rFonts w:eastAsiaTheme="minorEastAsia"/>
                <w:sz w:val="20"/>
                <w:szCs w:val="20"/>
                <w:lang w:val="nl-NL"/>
              </w:rPr>
              <w:t>Aleida Huisman</w:t>
            </w:r>
          </w:p>
          <w:p w:rsidR="00F338CE" w:rsidRPr="0046279F" w:rsidRDefault="00F338CE">
            <w:pPr>
              <w:pStyle w:val="GDASubreferentiekop"/>
              <w:spacing w:line="256" w:lineRule="auto"/>
              <w:rPr>
                <w:rFonts w:eastAsiaTheme="minorEastAsia"/>
                <w:sz w:val="20"/>
                <w:szCs w:val="20"/>
                <w:lang w:val="nl-NL"/>
              </w:rPr>
            </w:pPr>
            <w:r w:rsidRPr="0046279F">
              <w:rPr>
                <w:rFonts w:eastAsiaTheme="minorEastAsia"/>
                <w:sz w:val="20"/>
                <w:szCs w:val="20"/>
                <w:lang w:val="nl-NL"/>
              </w:rPr>
              <w:t>Arjola Ketting</w:t>
            </w:r>
          </w:p>
          <w:p w:rsidR="00F338CE" w:rsidRPr="0046279F" w:rsidRDefault="00F338CE">
            <w:pPr>
              <w:pStyle w:val="GDASubreferentiekop"/>
              <w:spacing w:line="256" w:lineRule="auto"/>
              <w:rPr>
                <w:rFonts w:eastAsiaTheme="minorEastAsia"/>
                <w:sz w:val="20"/>
                <w:szCs w:val="20"/>
                <w:lang w:val="nl-NL"/>
              </w:rPr>
            </w:pPr>
            <w:r w:rsidRPr="0046279F">
              <w:rPr>
                <w:rFonts w:eastAsiaTheme="minorEastAsia"/>
                <w:sz w:val="20"/>
                <w:szCs w:val="20"/>
                <w:lang w:val="nl-NL"/>
              </w:rPr>
              <w:t xml:space="preserve">Anouk van der </w:t>
            </w:r>
            <w:proofErr w:type="spellStart"/>
            <w:r w:rsidRPr="0046279F">
              <w:rPr>
                <w:rFonts w:eastAsiaTheme="minorEastAsia"/>
                <w:sz w:val="20"/>
                <w:szCs w:val="20"/>
                <w:lang w:val="nl-NL"/>
              </w:rPr>
              <w:t>Vijgh</w:t>
            </w:r>
            <w:proofErr w:type="spellEnd"/>
          </w:p>
          <w:p w:rsidR="00F338CE" w:rsidRPr="0046279F" w:rsidRDefault="00F338CE">
            <w:pPr>
              <w:pStyle w:val="GDASubreferentiekop"/>
              <w:spacing w:line="256" w:lineRule="auto"/>
              <w:rPr>
                <w:rFonts w:eastAsiaTheme="minorEastAsia"/>
                <w:sz w:val="20"/>
                <w:szCs w:val="20"/>
                <w:lang w:val="nl-NL"/>
              </w:rPr>
            </w:pPr>
          </w:p>
          <w:p w:rsidR="00F338CE" w:rsidRPr="0046279F" w:rsidRDefault="00F338CE" w:rsidP="00F338CE">
            <w:pPr>
              <w:pStyle w:val="GDASubreferentiekop"/>
              <w:spacing w:line="256" w:lineRule="auto"/>
              <w:rPr>
                <w:rFonts w:eastAsiaTheme="minorEastAsia"/>
                <w:sz w:val="20"/>
                <w:szCs w:val="20"/>
                <w:lang w:val="nl-NL"/>
              </w:rPr>
            </w:pPr>
            <w:r w:rsidRPr="0046279F">
              <w:rPr>
                <w:rFonts w:eastAsiaTheme="minorEastAsia"/>
                <w:sz w:val="20"/>
                <w:szCs w:val="20"/>
                <w:lang w:val="nl-NL"/>
              </w:rPr>
              <w:t xml:space="preserve">Adriaan Horrevorts, </w:t>
            </w:r>
            <w:r w:rsidRPr="0046279F">
              <w:rPr>
                <w:rFonts w:eastAsiaTheme="minorEastAsia"/>
                <w:sz w:val="20"/>
                <w:szCs w:val="20"/>
                <w:lang w:val="nl-NL"/>
              </w:rPr>
              <w:t>J</w:t>
            </w:r>
            <w:r w:rsidRPr="0046279F">
              <w:rPr>
                <w:rFonts w:eastAsiaTheme="minorEastAsia"/>
                <w:sz w:val="20"/>
                <w:szCs w:val="20"/>
                <w:lang w:val="nl-NL"/>
              </w:rPr>
              <w:t xml:space="preserve">on van Langeveld, </w:t>
            </w:r>
            <w:r w:rsidRPr="0046279F">
              <w:rPr>
                <w:rFonts w:eastAsiaTheme="minorEastAsia"/>
                <w:sz w:val="20"/>
                <w:szCs w:val="20"/>
                <w:lang w:val="nl-NL"/>
              </w:rPr>
              <w:t>Paula de Waal</w:t>
            </w:r>
            <w:r w:rsidRPr="0046279F">
              <w:rPr>
                <w:rFonts w:eastAsiaTheme="minorEastAsia"/>
                <w:sz w:val="20"/>
                <w:szCs w:val="20"/>
                <w:lang w:val="nl-NL"/>
              </w:rPr>
              <w:t xml:space="preserve">, </w:t>
            </w:r>
            <w:r w:rsidRPr="0046279F">
              <w:rPr>
                <w:rFonts w:eastAsiaTheme="minorEastAsia"/>
                <w:sz w:val="20"/>
                <w:szCs w:val="20"/>
                <w:lang w:val="nl-NL"/>
              </w:rPr>
              <w:t>Lucia Liefaart</w:t>
            </w:r>
          </w:p>
          <w:p w:rsidR="0046279F" w:rsidRPr="0046279F" w:rsidRDefault="00F338CE" w:rsidP="0046279F">
            <w:pPr>
              <w:pStyle w:val="GDASubreferentiekop"/>
              <w:spacing w:line="256" w:lineRule="auto"/>
              <w:rPr>
                <w:rFonts w:eastAsiaTheme="minorEastAsia"/>
                <w:sz w:val="20"/>
                <w:szCs w:val="20"/>
                <w:lang w:val="nl-NL"/>
              </w:rPr>
            </w:pPr>
            <w:r w:rsidRPr="0046279F">
              <w:rPr>
                <w:rFonts w:eastAsiaTheme="minorEastAsia"/>
                <w:sz w:val="20"/>
                <w:szCs w:val="20"/>
                <w:lang w:val="nl-NL"/>
              </w:rPr>
              <w:t>Yvonne Muijs</w:t>
            </w:r>
            <w:r w:rsidRPr="0046279F">
              <w:rPr>
                <w:rFonts w:eastAsiaTheme="minorEastAsia"/>
                <w:sz w:val="20"/>
                <w:szCs w:val="20"/>
                <w:lang w:val="nl-NL"/>
              </w:rPr>
              <w:t xml:space="preserve">, </w:t>
            </w:r>
            <w:r w:rsidRPr="0046279F">
              <w:rPr>
                <w:rFonts w:eastAsiaTheme="minorEastAsia"/>
                <w:sz w:val="20"/>
                <w:szCs w:val="20"/>
                <w:lang w:val="nl-NL"/>
              </w:rPr>
              <w:t>Colette van der Wees</w:t>
            </w:r>
            <w:r w:rsidR="0046279F">
              <w:rPr>
                <w:rFonts w:eastAsiaTheme="minorEastAsia"/>
                <w:sz w:val="20"/>
                <w:szCs w:val="20"/>
                <w:lang w:val="nl-NL"/>
              </w:rPr>
              <w:t xml:space="preserve">, </w:t>
            </w:r>
            <w:r w:rsidR="0046279F" w:rsidRPr="0046279F">
              <w:rPr>
                <w:rFonts w:eastAsiaTheme="minorEastAsia"/>
                <w:sz w:val="20"/>
                <w:szCs w:val="20"/>
                <w:lang w:val="nl-NL"/>
              </w:rPr>
              <w:t xml:space="preserve">Paul </w:t>
            </w:r>
            <w:proofErr w:type="spellStart"/>
            <w:r w:rsidR="0046279F" w:rsidRPr="0046279F">
              <w:rPr>
                <w:rFonts w:eastAsiaTheme="minorEastAsia"/>
                <w:sz w:val="20"/>
                <w:szCs w:val="20"/>
                <w:lang w:val="nl-NL"/>
              </w:rPr>
              <w:t>Wiltenburg</w:t>
            </w:r>
            <w:proofErr w:type="spellEnd"/>
          </w:p>
          <w:p w:rsidR="00F338CE" w:rsidRPr="0046279F" w:rsidRDefault="00F338CE" w:rsidP="00F338CE">
            <w:pPr>
              <w:pStyle w:val="GDASubreferentiekop"/>
              <w:spacing w:line="256" w:lineRule="auto"/>
              <w:rPr>
                <w:rFonts w:eastAsiaTheme="minorEastAsia"/>
                <w:sz w:val="20"/>
                <w:szCs w:val="20"/>
                <w:lang w:val="nl-NL"/>
              </w:rPr>
            </w:pPr>
          </w:p>
          <w:p w:rsidR="00F338CE" w:rsidRPr="0046279F" w:rsidRDefault="00F338CE" w:rsidP="00F338CE">
            <w:pPr>
              <w:pStyle w:val="GDASubreferentiekop"/>
              <w:spacing w:line="256" w:lineRule="auto"/>
              <w:rPr>
                <w:rFonts w:eastAsiaTheme="minorEastAsia"/>
                <w:sz w:val="20"/>
                <w:szCs w:val="20"/>
                <w:lang w:val="nl-NL"/>
              </w:rPr>
            </w:pPr>
          </w:p>
          <w:p w:rsidR="0046279F" w:rsidRDefault="00F338CE" w:rsidP="0046279F">
            <w:pPr>
              <w:pStyle w:val="GDASubreferentiekop"/>
              <w:spacing w:line="256" w:lineRule="auto"/>
              <w:rPr>
                <w:rFonts w:eastAsiaTheme="minorEastAsia"/>
                <w:b/>
                <w:sz w:val="20"/>
                <w:szCs w:val="20"/>
                <w:lang w:val="nl-NL"/>
              </w:rPr>
            </w:pPr>
            <w:proofErr w:type="spellStart"/>
            <w:r w:rsidRPr="0046279F">
              <w:rPr>
                <w:rFonts w:eastAsiaTheme="minorEastAsia"/>
                <w:b/>
                <w:sz w:val="20"/>
                <w:szCs w:val="20"/>
                <w:lang w:val="nl-NL"/>
              </w:rPr>
              <w:t>Djoeki</w:t>
            </w:r>
            <w:proofErr w:type="spellEnd"/>
            <w:r w:rsidRPr="0046279F">
              <w:rPr>
                <w:rFonts w:eastAsiaTheme="minorEastAsia"/>
                <w:b/>
                <w:sz w:val="20"/>
                <w:szCs w:val="20"/>
                <w:lang w:val="nl-NL"/>
              </w:rPr>
              <w:t xml:space="preserve"> van Woerden</w:t>
            </w:r>
          </w:p>
          <w:p w:rsidR="0046279F" w:rsidRDefault="0046279F" w:rsidP="0046279F">
            <w:pPr>
              <w:pStyle w:val="GDASubreferentiekop"/>
              <w:spacing w:line="256" w:lineRule="auto"/>
              <w:rPr>
                <w:rFonts w:eastAsiaTheme="minorEastAsia"/>
                <w:b/>
                <w:sz w:val="20"/>
                <w:szCs w:val="20"/>
                <w:lang w:val="nl-NL"/>
              </w:rPr>
            </w:pPr>
          </w:p>
          <w:p w:rsidR="00F338CE" w:rsidRPr="0046279F" w:rsidRDefault="00F338CE" w:rsidP="0046279F">
            <w:pPr>
              <w:pStyle w:val="GDASubreferentiekop"/>
              <w:spacing w:line="256" w:lineRule="auto"/>
              <w:rPr>
                <w:rFonts w:eastAsiaTheme="minorEastAsia"/>
                <w:sz w:val="20"/>
                <w:szCs w:val="20"/>
                <w:lang w:val="nl-NL"/>
              </w:rPr>
            </w:pPr>
            <w:r w:rsidRPr="0046279F">
              <w:rPr>
                <w:rFonts w:eastAsiaTheme="minorEastAsia"/>
                <w:b/>
                <w:sz w:val="20"/>
                <w:szCs w:val="20"/>
                <w:lang w:val="nl-NL"/>
              </w:rPr>
              <w:t>Jolanda Bouma</w:t>
            </w:r>
          </w:p>
          <w:p w:rsidR="00F338CE" w:rsidRPr="0046279F" w:rsidRDefault="00F338CE">
            <w:pPr>
              <w:pStyle w:val="GDASubreferentiekop"/>
              <w:spacing w:line="256" w:lineRule="auto"/>
              <w:rPr>
                <w:rFonts w:eastAsiaTheme="minorEastAsia"/>
                <w:sz w:val="20"/>
                <w:szCs w:val="20"/>
                <w:lang w:val="nl-NL"/>
              </w:rPr>
            </w:pPr>
          </w:p>
          <w:p w:rsidR="00F338CE" w:rsidRPr="0046279F" w:rsidRDefault="00F338CE">
            <w:pPr>
              <w:pStyle w:val="GDASubreferentiekop"/>
              <w:spacing w:line="256" w:lineRule="auto"/>
              <w:rPr>
                <w:rFonts w:eastAsiaTheme="minorEastAsia"/>
                <w:sz w:val="20"/>
                <w:szCs w:val="20"/>
                <w:lang w:val="nl-NL"/>
              </w:rPr>
            </w:pPr>
          </w:p>
          <w:p w:rsidR="00F338CE" w:rsidRPr="0046279F" w:rsidRDefault="00F338CE">
            <w:pPr>
              <w:pStyle w:val="GDASubreferentiekop"/>
              <w:spacing w:line="256" w:lineRule="auto"/>
              <w:rPr>
                <w:rFonts w:eastAsiaTheme="minorEastAsia"/>
                <w:sz w:val="20"/>
                <w:szCs w:val="20"/>
                <w:lang w:val="nl-NL"/>
              </w:rPr>
            </w:pPr>
          </w:p>
        </w:tc>
      </w:tr>
    </w:tbl>
    <w:p w:rsidR="00EA0DA6" w:rsidRPr="0046279F" w:rsidRDefault="00EA0DA6" w:rsidP="00EF1111">
      <w:pPr>
        <w:spacing w:after="200" w:line="276" w:lineRule="auto"/>
        <w:rPr>
          <w:rFonts w:cs="Arial"/>
        </w:rPr>
      </w:pPr>
    </w:p>
    <w:p w:rsidR="00EA0DA6" w:rsidRPr="0046279F" w:rsidRDefault="00EA0DA6" w:rsidP="00EA0DA6">
      <w:pPr>
        <w:pStyle w:val="Lijstalinea"/>
        <w:numPr>
          <w:ilvl w:val="0"/>
          <w:numId w:val="21"/>
        </w:numPr>
        <w:spacing w:after="200" w:line="276" w:lineRule="auto"/>
        <w:rPr>
          <w:rFonts w:cs="Arial"/>
          <w:b/>
        </w:rPr>
      </w:pPr>
      <w:proofErr w:type="spellStart"/>
      <w:r w:rsidRPr="0046279F">
        <w:rPr>
          <w:rFonts w:cs="Arial"/>
          <w:b/>
        </w:rPr>
        <w:t>Vroegsignalering</w:t>
      </w:r>
      <w:proofErr w:type="spellEnd"/>
      <w:r w:rsidRPr="0046279F">
        <w:rPr>
          <w:rFonts w:cs="Arial"/>
          <w:b/>
        </w:rPr>
        <w:t xml:space="preserve"> schulden door Yee Mee Yuen </w:t>
      </w:r>
    </w:p>
    <w:p w:rsidR="00EA0DA6" w:rsidRPr="0046279F" w:rsidRDefault="00EA0DA6" w:rsidP="00EA0DA6">
      <w:pPr>
        <w:spacing w:after="200" w:line="276" w:lineRule="auto"/>
        <w:rPr>
          <w:rFonts w:cs="Arial"/>
        </w:rPr>
      </w:pPr>
      <w:proofErr w:type="spellStart"/>
      <w:r w:rsidRPr="0046279F">
        <w:rPr>
          <w:rFonts w:cs="Arial"/>
        </w:rPr>
        <w:t>Vroegsignalering</w:t>
      </w:r>
      <w:proofErr w:type="spellEnd"/>
      <w:r w:rsidRPr="0046279F">
        <w:rPr>
          <w:rFonts w:cs="Arial"/>
        </w:rPr>
        <w:t xml:space="preserve"> is een wettelijke taak van de gemeente sinds 2021. Gemeente moeten vroegtijdig mensen vroegtijdig in beeld krijgen die mogelijk schulden hebben of krijgen. Gemeente moet zich houden a</w:t>
      </w:r>
      <w:r w:rsidR="00901056">
        <w:rPr>
          <w:rFonts w:cs="Arial"/>
        </w:rPr>
        <w:t>an kaders vanuit het Rijk. Huur,</w:t>
      </w:r>
      <w:r w:rsidRPr="0046279F">
        <w:rPr>
          <w:rFonts w:cs="Arial"/>
        </w:rPr>
        <w:t xml:space="preserve"> zorg, energie en water leveranciers mogen maandelijks melding doen van betaalachterstanden. De gemeente </w:t>
      </w:r>
      <w:proofErr w:type="spellStart"/>
      <w:r w:rsidRPr="0046279F">
        <w:rPr>
          <w:rFonts w:cs="Arial"/>
        </w:rPr>
        <w:t>matcht</w:t>
      </w:r>
      <w:proofErr w:type="spellEnd"/>
      <w:r w:rsidRPr="0046279F">
        <w:rPr>
          <w:rFonts w:cs="Arial"/>
        </w:rPr>
        <w:t xml:space="preserve"> de meldingen op adresniveau. Als er van meerdere leveranciers en meerdere maanden betaala</w:t>
      </w:r>
      <w:r w:rsidR="00901056">
        <w:rPr>
          <w:rFonts w:cs="Arial"/>
        </w:rPr>
        <w:t>chterstanden zijn dan moet de gemeente</w:t>
      </w:r>
      <w:r w:rsidRPr="0046279F">
        <w:rPr>
          <w:rFonts w:cs="Arial"/>
        </w:rPr>
        <w:t xml:space="preserve"> daar iets mee doen. Bij 1 melding</w:t>
      </w:r>
      <w:r w:rsidR="00901056">
        <w:rPr>
          <w:rFonts w:cs="Arial"/>
        </w:rPr>
        <w:t xml:space="preserve"> stuurt de gemeente</w:t>
      </w:r>
      <w:r w:rsidRPr="0046279F">
        <w:rPr>
          <w:rFonts w:cs="Arial"/>
        </w:rPr>
        <w:t xml:space="preserve"> een brief, bij meerdere meldingen met hogere betalingen gaat de gemeente </w:t>
      </w:r>
      <w:r w:rsidR="00901056">
        <w:rPr>
          <w:rFonts w:cs="Arial"/>
        </w:rPr>
        <w:t xml:space="preserve">nabellen en/of </w:t>
      </w:r>
      <w:r w:rsidRPr="0046279F">
        <w:rPr>
          <w:rFonts w:cs="Arial"/>
        </w:rPr>
        <w:t xml:space="preserve">op huisbezoek. De gemeente vraagt: hoe gaat het met je en klopt het dat je een betaalachterstand hebt. Of hebt u ergens anders hulp bij nodig. Het is vrijblijvende hulp. </w:t>
      </w:r>
    </w:p>
    <w:p w:rsidR="00EA0DA6" w:rsidRPr="0046279F" w:rsidRDefault="00EA0DA6" w:rsidP="00EA0DA6">
      <w:pPr>
        <w:spacing w:after="200" w:line="276" w:lineRule="auto"/>
        <w:rPr>
          <w:rFonts w:cs="Arial"/>
        </w:rPr>
      </w:pPr>
      <w:r w:rsidRPr="0046279F">
        <w:rPr>
          <w:rFonts w:cs="Arial"/>
        </w:rPr>
        <w:t xml:space="preserve">Doelstelling is voorkomen van schulden/schuldhulpverlening. </w:t>
      </w:r>
    </w:p>
    <w:p w:rsidR="00FE2B98" w:rsidRPr="0046279F" w:rsidRDefault="00FE2B98" w:rsidP="00EA0DA6">
      <w:pPr>
        <w:spacing w:after="200" w:line="276" w:lineRule="auto"/>
        <w:rPr>
          <w:rFonts w:cs="Arial"/>
        </w:rPr>
      </w:pPr>
      <w:r w:rsidRPr="0046279F">
        <w:rPr>
          <w:rFonts w:cs="Arial"/>
        </w:rPr>
        <w:t xml:space="preserve">Wettelijk mag de gemeente alleen van de 4 vaste lasten (energie, water, huur en zorg) meldingen van betaalachterstanden krijgen. </w:t>
      </w:r>
    </w:p>
    <w:p w:rsidR="00FE2B98" w:rsidRPr="0046279F" w:rsidRDefault="00FE2B98" w:rsidP="00EA0DA6">
      <w:pPr>
        <w:spacing w:after="200" w:line="276" w:lineRule="auto"/>
        <w:rPr>
          <w:rFonts w:cs="Arial"/>
        </w:rPr>
      </w:pPr>
      <w:r w:rsidRPr="0046279F">
        <w:rPr>
          <w:rFonts w:cs="Arial"/>
        </w:rPr>
        <w:t xml:space="preserve">Er is een pilot met een x aantal gemeenten die </w:t>
      </w:r>
      <w:r w:rsidR="00FD0A19" w:rsidRPr="0046279F">
        <w:rPr>
          <w:rFonts w:cs="Arial"/>
        </w:rPr>
        <w:t>experimenteren</w:t>
      </w:r>
      <w:r w:rsidRPr="0046279F">
        <w:rPr>
          <w:rFonts w:cs="Arial"/>
        </w:rPr>
        <w:t xml:space="preserve"> of ook hypotheekverstrekkers meldingen </w:t>
      </w:r>
      <w:r w:rsidR="00FD0A19" w:rsidRPr="0046279F">
        <w:rPr>
          <w:rFonts w:cs="Arial"/>
        </w:rPr>
        <w:t xml:space="preserve">(als extra signaalpartner) </w:t>
      </w:r>
      <w:r w:rsidRPr="0046279F">
        <w:rPr>
          <w:rFonts w:cs="Arial"/>
        </w:rPr>
        <w:t xml:space="preserve">kunnen en mogen maken. </w:t>
      </w:r>
      <w:r w:rsidR="00901056">
        <w:rPr>
          <w:rFonts w:cs="Arial"/>
        </w:rPr>
        <w:t xml:space="preserve">Gouda doet niet mee aan deze pilot. </w:t>
      </w:r>
    </w:p>
    <w:p w:rsidR="00FE2B98" w:rsidRPr="0046279F" w:rsidRDefault="00FE2B98" w:rsidP="00EA0DA6">
      <w:pPr>
        <w:spacing w:after="200" w:line="276" w:lineRule="auto"/>
        <w:rPr>
          <w:rFonts w:cs="Arial"/>
        </w:rPr>
      </w:pPr>
      <w:r w:rsidRPr="0046279F">
        <w:rPr>
          <w:rFonts w:cs="Arial"/>
        </w:rPr>
        <w:t>Gouda is gemiddeld in het aantal meldingen</w:t>
      </w:r>
      <w:r w:rsidR="00901056">
        <w:rPr>
          <w:rFonts w:cs="Arial"/>
        </w:rPr>
        <w:t xml:space="preserve"> in verhouding tot andere gemeenten</w:t>
      </w:r>
      <w:r w:rsidRPr="0046279F">
        <w:rPr>
          <w:rFonts w:cs="Arial"/>
        </w:rPr>
        <w:t xml:space="preserve">. </w:t>
      </w:r>
      <w:r w:rsidR="00901056">
        <w:rPr>
          <w:rFonts w:cs="Arial"/>
        </w:rPr>
        <w:t>De g</w:t>
      </w:r>
      <w:r w:rsidR="000D743B" w:rsidRPr="0046279F">
        <w:rPr>
          <w:rFonts w:cs="Arial"/>
        </w:rPr>
        <w:t xml:space="preserve">emeente stuurt een blanco envelop (niet zichtbaar wie de afzender is). Of de gemeente op huisbezoek gaat, hangt af van de ernst van de meldingen. </w:t>
      </w:r>
    </w:p>
    <w:p w:rsidR="00FE2B98" w:rsidRPr="0046279F" w:rsidRDefault="00FE2B98" w:rsidP="00EA0DA6">
      <w:pPr>
        <w:spacing w:after="200" w:line="276" w:lineRule="auto"/>
        <w:rPr>
          <w:rFonts w:cs="Arial"/>
        </w:rPr>
      </w:pPr>
      <w:r w:rsidRPr="0046279F">
        <w:rPr>
          <w:rFonts w:cs="Arial"/>
        </w:rPr>
        <w:t>Resultaten:</w:t>
      </w:r>
    </w:p>
    <w:p w:rsidR="00FE2B98" w:rsidRPr="0046279F" w:rsidRDefault="00FE2B98" w:rsidP="00FE2B98">
      <w:pPr>
        <w:pStyle w:val="Lijstalinea"/>
        <w:numPr>
          <w:ilvl w:val="0"/>
          <w:numId w:val="22"/>
        </w:numPr>
        <w:spacing w:after="200" w:line="276" w:lineRule="auto"/>
        <w:rPr>
          <w:rFonts w:cs="Arial"/>
        </w:rPr>
      </w:pPr>
      <w:r w:rsidRPr="0046279F">
        <w:rPr>
          <w:rFonts w:cs="Arial"/>
        </w:rPr>
        <w:lastRenderedPageBreak/>
        <w:t xml:space="preserve">Huisbezoeken zijn heel effectief. </w:t>
      </w:r>
    </w:p>
    <w:p w:rsidR="00FE2B98" w:rsidRPr="0046279F" w:rsidRDefault="000D743B" w:rsidP="00FE2B98">
      <w:pPr>
        <w:pStyle w:val="Lijstalinea"/>
        <w:numPr>
          <w:ilvl w:val="0"/>
          <w:numId w:val="22"/>
        </w:numPr>
        <w:spacing w:after="200" w:line="276" w:lineRule="auto"/>
        <w:rPr>
          <w:rFonts w:cs="Arial"/>
        </w:rPr>
      </w:pPr>
      <w:r w:rsidRPr="0046279F">
        <w:rPr>
          <w:rFonts w:cs="Arial"/>
        </w:rPr>
        <w:t>De reactie op alle brieven en e-mails is 6,5%</w:t>
      </w:r>
    </w:p>
    <w:p w:rsidR="000D743B" w:rsidRPr="0046279F" w:rsidRDefault="000D743B" w:rsidP="00FE2B98">
      <w:pPr>
        <w:pStyle w:val="Lijstalinea"/>
        <w:numPr>
          <w:ilvl w:val="0"/>
          <w:numId w:val="22"/>
        </w:numPr>
        <w:spacing w:after="200" w:line="276" w:lineRule="auto"/>
        <w:rPr>
          <w:rFonts w:cs="Arial"/>
        </w:rPr>
      </w:pPr>
      <w:r w:rsidRPr="0046279F">
        <w:rPr>
          <w:rFonts w:cs="Arial"/>
        </w:rPr>
        <w:t xml:space="preserve">Bij nabellen is 43,9% bereikt </w:t>
      </w:r>
    </w:p>
    <w:p w:rsidR="000D743B" w:rsidRPr="0046279F" w:rsidRDefault="000D743B" w:rsidP="000D743B">
      <w:pPr>
        <w:pStyle w:val="Lijstalinea"/>
        <w:numPr>
          <w:ilvl w:val="0"/>
          <w:numId w:val="22"/>
        </w:numPr>
        <w:spacing w:after="200" w:line="276" w:lineRule="auto"/>
        <w:rPr>
          <w:rFonts w:cs="Arial"/>
        </w:rPr>
      </w:pPr>
      <w:r w:rsidRPr="0046279F">
        <w:rPr>
          <w:rFonts w:cs="Arial"/>
        </w:rPr>
        <w:t xml:space="preserve">Bij huisbezoek wordt 24,22% bereikt. 8% van deze mensen accepteert hulp bij huisbezoek. </w:t>
      </w:r>
    </w:p>
    <w:p w:rsidR="00FD0A19" w:rsidRPr="0046279F" w:rsidRDefault="00FD0A19" w:rsidP="00FD0A19">
      <w:pPr>
        <w:spacing w:after="200" w:line="276" w:lineRule="auto"/>
        <w:rPr>
          <w:rFonts w:cs="Arial"/>
        </w:rPr>
      </w:pPr>
      <w:r w:rsidRPr="0046279F">
        <w:rPr>
          <w:rFonts w:cs="Arial"/>
        </w:rPr>
        <w:t xml:space="preserve">Wordt er ook buiten kantooruren op huisbezoek gegaan of gebeld? Veel mensen werken overdag. Daarom wordt nu ook </w:t>
      </w:r>
      <w:proofErr w:type="spellStart"/>
      <w:r w:rsidRPr="0046279F">
        <w:rPr>
          <w:rFonts w:cs="Arial"/>
        </w:rPr>
        <w:t>whatsapp</w:t>
      </w:r>
      <w:proofErr w:type="spellEnd"/>
      <w:r w:rsidRPr="0046279F">
        <w:rPr>
          <w:rFonts w:cs="Arial"/>
        </w:rPr>
        <w:t xml:space="preserve"> gebruikt. Er wordt niet ’s avonds gebeld of op huisbezoek gegaan. </w:t>
      </w:r>
      <w:r w:rsidRPr="0046279F">
        <w:rPr>
          <w:rFonts w:cs="Arial"/>
        </w:rPr>
        <w:br/>
        <w:t xml:space="preserve">De gemeente heeft geen gegevens of mensen (overdag) werken. Gemeente krijgt alleen, naam, adres, telefoonnummer en e-mailadres wanneer dit bekend is. </w:t>
      </w:r>
    </w:p>
    <w:p w:rsidR="00FD0A19" w:rsidRPr="0046279F" w:rsidRDefault="00303C4D" w:rsidP="00FD0A19">
      <w:pPr>
        <w:spacing w:after="200" w:line="276" w:lineRule="auto"/>
        <w:rPr>
          <w:rFonts w:cs="Arial"/>
        </w:rPr>
      </w:pPr>
      <w:r w:rsidRPr="0046279F">
        <w:rPr>
          <w:rFonts w:cs="Arial"/>
        </w:rPr>
        <w:t>In Gouda krijgt</w:t>
      </w:r>
      <w:r w:rsidR="00FD0A19" w:rsidRPr="0046279F">
        <w:rPr>
          <w:rFonts w:cs="Arial"/>
        </w:rPr>
        <w:t xml:space="preserve"> </w:t>
      </w:r>
      <w:r w:rsidRPr="0046279F">
        <w:rPr>
          <w:rFonts w:cs="Arial"/>
        </w:rPr>
        <w:t xml:space="preserve">(op </w:t>
      </w:r>
      <w:r w:rsidR="00FD0A19" w:rsidRPr="0046279F">
        <w:rPr>
          <w:rFonts w:cs="Arial"/>
        </w:rPr>
        <w:t xml:space="preserve">basis van cijfers van </w:t>
      </w:r>
      <w:r w:rsidR="009555F0" w:rsidRPr="0046279F">
        <w:rPr>
          <w:rFonts w:cs="Arial"/>
        </w:rPr>
        <w:t>het eerste jaar</w:t>
      </w:r>
      <w:r w:rsidRPr="0046279F">
        <w:rPr>
          <w:rFonts w:cs="Arial"/>
        </w:rPr>
        <w:t>)</w:t>
      </w:r>
      <w:r w:rsidR="009555F0" w:rsidRPr="0046279F">
        <w:rPr>
          <w:rFonts w:cs="Arial"/>
        </w:rPr>
        <w:t xml:space="preserve"> 2440 signalen per jaar. Van 1 adres kunnen vanuit meerdere hoeken signalen zijn gekomen. Het aantal meldingen zijn in het afgelopen jaar explosief gestegen. </w:t>
      </w:r>
    </w:p>
    <w:p w:rsidR="009555F0" w:rsidRPr="0046279F" w:rsidRDefault="00303C4D" w:rsidP="00FD0A19">
      <w:pPr>
        <w:spacing w:after="200" w:line="276" w:lineRule="auto"/>
        <w:rPr>
          <w:rFonts w:cs="Arial"/>
        </w:rPr>
      </w:pPr>
      <w:r w:rsidRPr="0046279F">
        <w:rPr>
          <w:rFonts w:cs="Arial"/>
        </w:rPr>
        <w:t xml:space="preserve">Pas na 5 jaar </w:t>
      </w:r>
      <w:proofErr w:type="spellStart"/>
      <w:r w:rsidRPr="0046279F">
        <w:rPr>
          <w:rFonts w:cs="Arial"/>
        </w:rPr>
        <w:t>vroegsignalering</w:t>
      </w:r>
      <w:proofErr w:type="spellEnd"/>
      <w:r w:rsidRPr="0046279F">
        <w:rPr>
          <w:rFonts w:cs="Arial"/>
        </w:rPr>
        <w:t xml:space="preserve"> zou je moeten kunnen zien dat het aantal mensen in de schuldhulpverlening daalt. De </w:t>
      </w:r>
      <w:proofErr w:type="spellStart"/>
      <w:r w:rsidRPr="0046279F">
        <w:rPr>
          <w:rFonts w:cs="Arial"/>
        </w:rPr>
        <w:t>vroegsignalering</w:t>
      </w:r>
      <w:proofErr w:type="spellEnd"/>
      <w:r w:rsidRPr="0046279F">
        <w:rPr>
          <w:rFonts w:cs="Arial"/>
        </w:rPr>
        <w:t xml:space="preserve"> bestaat sinds 2021 in Gouda. </w:t>
      </w:r>
      <w:r w:rsidR="00C713C3" w:rsidRPr="0046279F">
        <w:rPr>
          <w:rFonts w:cs="Arial"/>
        </w:rPr>
        <w:t xml:space="preserve">Sinds 1 jaar werken er 2 collega’s op </w:t>
      </w:r>
      <w:proofErr w:type="spellStart"/>
      <w:r w:rsidR="00C713C3" w:rsidRPr="0046279F">
        <w:rPr>
          <w:rFonts w:cs="Arial"/>
        </w:rPr>
        <w:t>vroegsignaler</w:t>
      </w:r>
      <w:r w:rsidR="00901056">
        <w:rPr>
          <w:rFonts w:cs="Arial"/>
        </w:rPr>
        <w:t>ing</w:t>
      </w:r>
      <w:proofErr w:type="spellEnd"/>
      <w:r w:rsidR="00901056">
        <w:rPr>
          <w:rFonts w:cs="Arial"/>
        </w:rPr>
        <w:t xml:space="preserve"> en is de </w:t>
      </w:r>
      <w:proofErr w:type="spellStart"/>
      <w:r w:rsidR="00901056">
        <w:rPr>
          <w:rFonts w:cs="Arial"/>
        </w:rPr>
        <w:t>vroegsignalering</w:t>
      </w:r>
      <w:proofErr w:type="spellEnd"/>
      <w:r w:rsidR="00901056">
        <w:rPr>
          <w:rFonts w:cs="Arial"/>
        </w:rPr>
        <w:t xml:space="preserve"> daarmee uitgebreid met huisbezoeken. </w:t>
      </w:r>
      <w:r w:rsidR="00C713C3" w:rsidRPr="0046279F">
        <w:rPr>
          <w:rFonts w:cs="Arial"/>
        </w:rPr>
        <w:t xml:space="preserve"> </w:t>
      </w:r>
    </w:p>
    <w:p w:rsidR="00303C4D" w:rsidRPr="0046279F" w:rsidRDefault="00303C4D" w:rsidP="00303C4D">
      <w:pPr>
        <w:pStyle w:val="Lijstalinea"/>
        <w:numPr>
          <w:ilvl w:val="0"/>
          <w:numId w:val="21"/>
        </w:numPr>
        <w:spacing w:after="200" w:line="276" w:lineRule="auto"/>
        <w:rPr>
          <w:rFonts w:cs="Arial"/>
          <w:b/>
        </w:rPr>
      </w:pPr>
      <w:r w:rsidRPr="0046279F">
        <w:rPr>
          <w:rFonts w:cs="Arial"/>
          <w:b/>
        </w:rPr>
        <w:t xml:space="preserve">De </w:t>
      </w:r>
      <w:r w:rsidR="00E07BF5" w:rsidRPr="0046279F">
        <w:rPr>
          <w:rFonts w:cs="Arial"/>
          <w:b/>
        </w:rPr>
        <w:t>Integrale uitvoeringsorganisatie</w:t>
      </w:r>
      <w:r w:rsidRPr="0046279F">
        <w:rPr>
          <w:rFonts w:cs="Arial"/>
          <w:b/>
        </w:rPr>
        <w:t xml:space="preserve"> van de gemeente door Celine Frommé</w:t>
      </w:r>
    </w:p>
    <w:p w:rsidR="00C73547" w:rsidRPr="0046279F" w:rsidRDefault="00C73547" w:rsidP="00303C4D">
      <w:pPr>
        <w:spacing w:after="200" w:line="276" w:lineRule="auto"/>
        <w:rPr>
          <w:rFonts w:cs="Arial"/>
        </w:rPr>
      </w:pPr>
      <w:r w:rsidRPr="0046279F">
        <w:rPr>
          <w:rFonts w:cs="Arial"/>
        </w:rPr>
        <w:t>Sinds 2021 heeft de gemeente een integrale uitvoeringsorganisatie. Er zijn nie</w:t>
      </w:r>
      <w:r w:rsidR="00634BCD">
        <w:rPr>
          <w:rFonts w:cs="Arial"/>
        </w:rPr>
        <w:t>uwe afdelingen gevormd,</w:t>
      </w:r>
      <w:r w:rsidRPr="0046279F">
        <w:rPr>
          <w:rFonts w:cs="Arial"/>
        </w:rPr>
        <w:t xml:space="preserve"> jeugd is vanuit het sociaal team naar de gemeente gekomen. Nu wordt de integrale toegang doorontwikkeld. Er zijn 4 </w:t>
      </w:r>
      <w:proofErr w:type="spellStart"/>
      <w:r w:rsidRPr="0046279F">
        <w:rPr>
          <w:rFonts w:cs="Arial"/>
        </w:rPr>
        <w:t>ontwikkelijnen</w:t>
      </w:r>
      <w:proofErr w:type="spellEnd"/>
      <w:r w:rsidRPr="0046279F">
        <w:rPr>
          <w:rFonts w:cs="Arial"/>
        </w:rPr>
        <w:t>.</w:t>
      </w:r>
    </w:p>
    <w:p w:rsidR="00C73547" w:rsidRPr="0046279F" w:rsidRDefault="00C73547" w:rsidP="004B2CB8">
      <w:pPr>
        <w:pStyle w:val="Lijstalinea"/>
        <w:numPr>
          <w:ilvl w:val="0"/>
          <w:numId w:val="23"/>
        </w:numPr>
        <w:spacing w:after="200" w:line="276" w:lineRule="auto"/>
        <w:rPr>
          <w:rFonts w:cs="Arial"/>
        </w:rPr>
      </w:pPr>
      <w:r w:rsidRPr="00634BCD">
        <w:rPr>
          <w:rFonts w:cs="Arial"/>
          <w:i/>
        </w:rPr>
        <w:t>Versterken van de toegang</w:t>
      </w:r>
      <w:r w:rsidRPr="0046279F">
        <w:rPr>
          <w:rFonts w:cs="Arial"/>
        </w:rPr>
        <w:t>. Er zit nu een team integrale toegang. Als je de gemeente belt en te toetst in optie 2 dan komt je bij de integrale toegang sociaal domein. Zij doen een brede uitvraag. Zodat zij goed weten bij welke afdelingen de vraag hoort en wat de vraag precies is. Er wordt breder gekeken en doorgevraagd o</w:t>
      </w:r>
      <w:r w:rsidR="00406312" w:rsidRPr="0046279F">
        <w:rPr>
          <w:rFonts w:cs="Arial"/>
        </w:rPr>
        <w:t xml:space="preserve">f er onderliggende vragen zijn. Dit willen we verbeteren, versterken en ontwikkelen. </w:t>
      </w:r>
    </w:p>
    <w:p w:rsidR="00406312" w:rsidRPr="0046279F" w:rsidRDefault="00406312" w:rsidP="004B2CB8">
      <w:pPr>
        <w:pStyle w:val="Lijstalinea"/>
        <w:numPr>
          <w:ilvl w:val="0"/>
          <w:numId w:val="23"/>
        </w:numPr>
        <w:spacing w:after="200" w:line="276" w:lineRule="auto"/>
        <w:rPr>
          <w:rFonts w:cs="Arial"/>
        </w:rPr>
      </w:pPr>
      <w:r w:rsidRPr="00634BCD">
        <w:rPr>
          <w:rFonts w:cs="Arial"/>
          <w:i/>
        </w:rPr>
        <w:t>Faciliteren van de uitvoering om de vraag integraal op te kunnen pakken.</w:t>
      </w:r>
      <w:r w:rsidRPr="0046279F">
        <w:rPr>
          <w:rFonts w:cs="Arial"/>
        </w:rPr>
        <w:t xml:space="preserve"> </w:t>
      </w:r>
      <w:r w:rsidR="00745448" w:rsidRPr="0046279F">
        <w:rPr>
          <w:rFonts w:cs="Arial"/>
        </w:rPr>
        <w:t xml:space="preserve">Integraal werken gaat over samenwerking tussen de verschillende </w:t>
      </w:r>
      <w:proofErr w:type="spellStart"/>
      <w:r w:rsidR="00745448" w:rsidRPr="0046279F">
        <w:rPr>
          <w:rFonts w:cs="Arial"/>
        </w:rPr>
        <w:t>vakafdelingen</w:t>
      </w:r>
      <w:proofErr w:type="spellEnd"/>
      <w:r w:rsidR="00745448" w:rsidRPr="0046279F">
        <w:rPr>
          <w:rFonts w:cs="Arial"/>
        </w:rPr>
        <w:t>.</w:t>
      </w:r>
      <w:r w:rsidR="004B2CB8" w:rsidRPr="0046279F">
        <w:rPr>
          <w:rFonts w:cs="Arial"/>
        </w:rPr>
        <w:t xml:space="preserve"> Zodat inwoners niet opnieuw terug naar de voordeur van het Huis van de Stad moeten gaan voor een andere </w:t>
      </w:r>
      <w:proofErr w:type="spellStart"/>
      <w:r w:rsidR="004B2CB8" w:rsidRPr="0046279F">
        <w:rPr>
          <w:rFonts w:cs="Arial"/>
        </w:rPr>
        <w:t>vakafdeling</w:t>
      </w:r>
      <w:proofErr w:type="spellEnd"/>
      <w:r w:rsidR="004B2CB8" w:rsidRPr="0046279F">
        <w:rPr>
          <w:rFonts w:cs="Arial"/>
        </w:rPr>
        <w:t xml:space="preserve">. </w:t>
      </w:r>
    </w:p>
    <w:p w:rsidR="004B2CB8" w:rsidRPr="0046279F" w:rsidRDefault="004B2CB8" w:rsidP="004B2CB8">
      <w:pPr>
        <w:pStyle w:val="Lijstalinea"/>
        <w:numPr>
          <w:ilvl w:val="0"/>
          <w:numId w:val="23"/>
        </w:numPr>
        <w:spacing w:after="200" w:line="276" w:lineRule="auto"/>
        <w:rPr>
          <w:rFonts w:cs="Arial"/>
        </w:rPr>
      </w:pPr>
      <w:r w:rsidRPr="00634BCD">
        <w:rPr>
          <w:rFonts w:cs="Arial"/>
          <w:i/>
        </w:rPr>
        <w:t xml:space="preserve">Meer tijd en resultaten voor </w:t>
      </w:r>
      <w:r w:rsidR="0068410A" w:rsidRPr="00634BCD">
        <w:rPr>
          <w:rFonts w:cs="Arial"/>
          <w:i/>
        </w:rPr>
        <w:t>cliënt</w:t>
      </w:r>
      <w:r w:rsidRPr="00634BCD">
        <w:rPr>
          <w:rFonts w:cs="Arial"/>
          <w:i/>
        </w:rPr>
        <w:t>/inwoner</w:t>
      </w:r>
      <w:r w:rsidR="0068410A" w:rsidRPr="00634BCD">
        <w:rPr>
          <w:rFonts w:cs="Arial"/>
          <w:i/>
        </w:rPr>
        <w:t>.</w:t>
      </w:r>
      <w:r w:rsidR="0068410A" w:rsidRPr="0046279F">
        <w:rPr>
          <w:rFonts w:cs="Arial"/>
        </w:rPr>
        <w:t xml:space="preserve"> </w:t>
      </w:r>
      <w:r w:rsidR="002931B7" w:rsidRPr="0046279F">
        <w:rPr>
          <w:rFonts w:cs="Arial"/>
        </w:rPr>
        <w:t>De gemeente wil werken</w:t>
      </w:r>
      <w:r w:rsidR="0068410A" w:rsidRPr="0046279F">
        <w:rPr>
          <w:rFonts w:cs="Arial"/>
        </w:rPr>
        <w:t xml:space="preserve"> via casemanagement. Dit houdt in dat de gemeente/consulent</w:t>
      </w:r>
      <w:r w:rsidR="002931B7" w:rsidRPr="0046279F">
        <w:rPr>
          <w:rFonts w:cs="Arial"/>
        </w:rPr>
        <w:t xml:space="preserve"> regie houdt en dus</w:t>
      </w:r>
      <w:r w:rsidR="0068410A" w:rsidRPr="0046279F">
        <w:rPr>
          <w:rFonts w:cs="Arial"/>
        </w:rPr>
        <w:t xml:space="preserve"> betrokken is en blijft bij </w:t>
      </w:r>
      <w:r w:rsidR="002931B7" w:rsidRPr="0046279F">
        <w:rPr>
          <w:rFonts w:cs="Arial"/>
        </w:rPr>
        <w:t xml:space="preserve">(het proces van) </w:t>
      </w:r>
      <w:r w:rsidR="0068410A" w:rsidRPr="0046279F">
        <w:rPr>
          <w:rFonts w:cs="Arial"/>
        </w:rPr>
        <w:t xml:space="preserve">de hulp. De gemeente stuurt tussentijds op doelen en op zorg en blijft zichtbaar bij de inwoner. </w:t>
      </w:r>
    </w:p>
    <w:p w:rsidR="0068410A" w:rsidRPr="0046279F" w:rsidRDefault="0068410A" w:rsidP="0068410A">
      <w:pPr>
        <w:spacing w:after="200" w:line="276" w:lineRule="auto"/>
        <w:rPr>
          <w:rFonts w:cs="Arial"/>
        </w:rPr>
      </w:pPr>
      <w:r w:rsidRPr="00634BCD">
        <w:rPr>
          <w:rFonts w:cs="Arial"/>
          <w:highlight w:val="yellow"/>
        </w:rPr>
        <w:t>De GCR vraagt om een keer te praten over regiekaarten</w:t>
      </w:r>
      <w:r w:rsidR="002931B7" w:rsidRPr="00634BCD">
        <w:rPr>
          <w:rFonts w:cs="Arial"/>
          <w:highlight w:val="yellow"/>
        </w:rPr>
        <w:t xml:space="preserve"> die nu in ontwikkeling zijn.</w:t>
      </w:r>
      <w:r w:rsidR="002931B7" w:rsidRPr="0046279F">
        <w:rPr>
          <w:rFonts w:cs="Arial"/>
        </w:rPr>
        <w:t xml:space="preserve"> </w:t>
      </w:r>
    </w:p>
    <w:p w:rsidR="00D702FD" w:rsidRPr="0046279F" w:rsidRDefault="002931B7" w:rsidP="00D702FD">
      <w:pPr>
        <w:pStyle w:val="Lijstalinea"/>
        <w:numPr>
          <w:ilvl w:val="0"/>
          <w:numId w:val="23"/>
        </w:numPr>
        <w:spacing w:after="200" w:line="276" w:lineRule="auto"/>
        <w:rPr>
          <w:rFonts w:cs="Arial"/>
        </w:rPr>
      </w:pPr>
      <w:r w:rsidRPr="00634BCD">
        <w:rPr>
          <w:rFonts w:cs="Arial"/>
          <w:i/>
        </w:rPr>
        <w:t>Versterken rechtsbescherming</w:t>
      </w:r>
      <w:r w:rsidRPr="0046279F">
        <w:rPr>
          <w:rFonts w:cs="Arial"/>
        </w:rPr>
        <w:t xml:space="preserve">. Het Sociaal Team heeft de opdracht om </w:t>
      </w:r>
      <w:r w:rsidR="009741D1" w:rsidRPr="0046279F">
        <w:rPr>
          <w:rFonts w:cs="Arial"/>
        </w:rPr>
        <w:t xml:space="preserve">de sociaal raadslieden zichtbaarder te maken en preventief in te zetten. </w:t>
      </w:r>
      <w:r w:rsidR="006466C4" w:rsidRPr="0046279F">
        <w:rPr>
          <w:rFonts w:cs="Arial"/>
        </w:rPr>
        <w:t xml:space="preserve">Voor sociaal </w:t>
      </w:r>
      <w:r w:rsidR="00307396" w:rsidRPr="0046279F">
        <w:rPr>
          <w:rFonts w:cs="Arial"/>
        </w:rPr>
        <w:t>juridische</w:t>
      </w:r>
      <w:r w:rsidR="006466C4" w:rsidRPr="0046279F">
        <w:rPr>
          <w:rFonts w:cs="Arial"/>
        </w:rPr>
        <w:t xml:space="preserve"> ondersteuning/advies. </w:t>
      </w:r>
    </w:p>
    <w:p w:rsidR="00D702FD" w:rsidRPr="0046279F" w:rsidRDefault="008E6CEC" w:rsidP="00D702FD">
      <w:pPr>
        <w:pStyle w:val="Lijstalinea"/>
        <w:numPr>
          <w:ilvl w:val="0"/>
          <w:numId w:val="21"/>
        </w:numPr>
        <w:spacing w:after="200" w:line="276" w:lineRule="auto"/>
        <w:rPr>
          <w:rFonts w:cs="Arial"/>
          <w:b/>
        </w:rPr>
      </w:pPr>
      <w:r>
        <w:rPr>
          <w:rFonts w:cs="Arial"/>
          <w:b/>
        </w:rPr>
        <w:t xml:space="preserve">Lopende zaken GCR </w:t>
      </w:r>
    </w:p>
    <w:p w:rsidR="00D702FD" w:rsidRPr="0046279F" w:rsidRDefault="00D702FD" w:rsidP="00D702FD">
      <w:pPr>
        <w:pStyle w:val="Lijstalinea"/>
        <w:numPr>
          <w:ilvl w:val="0"/>
          <w:numId w:val="0"/>
        </w:numPr>
        <w:spacing w:after="200" w:line="276" w:lineRule="auto"/>
        <w:ind w:left="720"/>
        <w:rPr>
          <w:rFonts w:cs="Arial"/>
        </w:rPr>
      </w:pPr>
      <w:r w:rsidRPr="0046279F">
        <w:rPr>
          <w:rFonts w:cs="Arial"/>
        </w:rPr>
        <w:t xml:space="preserve">Er is vanuit de GCR een reactie gekomen op de reactie van de gemeente over het advies van de verordening </w:t>
      </w:r>
      <w:proofErr w:type="spellStart"/>
      <w:r w:rsidRPr="0046279F">
        <w:rPr>
          <w:rFonts w:cs="Arial"/>
        </w:rPr>
        <w:t>wmo</w:t>
      </w:r>
      <w:proofErr w:type="spellEnd"/>
      <w:r w:rsidRPr="0046279F">
        <w:rPr>
          <w:rFonts w:cs="Arial"/>
        </w:rPr>
        <w:t xml:space="preserve">/jeugd. 23 oktober is deze reactie verstuurd met ook een verzoek om een gesprek met de wethouder. De wethouder gaat graag het gesprek aan. Er wordt een afspraak georganiseerd met de schrijvers van de reactie. </w:t>
      </w:r>
    </w:p>
    <w:p w:rsidR="00782E93" w:rsidRPr="0046279F" w:rsidRDefault="00634BCD" w:rsidP="00D702FD">
      <w:pPr>
        <w:pStyle w:val="Lijstalinea"/>
        <w:numPr>
          <w:ilvl w:val="0"/>
          <w:numId w:val="0"/>
        </w:numPr>
        <w:spacing w:after="200" w:line="276" w:lineRule="auto"/>
        <w:ind w:left="720"/>
        <w:rPr>
          <w:rFonts w:cs="Arial"/>
        </w:rPr>
      </w:pPr>
      <w:r>
        <w:rPr>
          <w:rFonts w:cs="Arial"/>
        </w:rPr>
        <w:t xml:space="preserve">Er is een reactie (Marieke Vonk) </w:t>
      </w:r>
      <w:r w:rsidR="00782E93" w:rsidRPr="0046279F">
        <w:rPr>
          <w:rFonts w:cs="Arial"/>
        </w:rPr>
        <w:t>gekomen op de openstaande vragen over de GGD arts en de huishoudelijke ondersteuning. De gemeente geef</w:t>
      </w:r>
      <w:r w:rsidR="008E6CEC">
        <w:rPr>
          <w:rFonts w:cs="Arial"/>
        </w:rPr>
        <w:t>t aan dat de werkwijze met de GGD arts vanuit een andere tijdsperiode zijn</w:t>
      </w:r>
      <w:r>
        <w:rPr>
          <w:rFonts w:cs="Arial"/>
        </w:rPr>
        <w:t xml:space="preserve"> ontwikkeld</w:t>
      </w:r>
      <w:r w:rsidR="008E6CEC">
        <w:rPr>
          <w:rFonts w:cs="Arial"/>
        </w:rPr>
        <w:t xml:space="preserve"> en het is goed om te </w:t>
      </w:r>
      <w:r>
        <w:rPr>
          <w:rFonts w:cs="Arial"/>
        </w:rPr>
        <w:t xml:space="preserve">kijken of en hoe dit nog passend is. </w:t>
      </w:r>
      <w:r w:rsidR="008E6CEC">
        <w:rPr>
          <w:rFonts w:cs="Arial"/>
        </w:rPr>
        <w:t xml:space="preserve"> </w:t>
      </w:r>
    </w:p>
    <w:p w:rsidR="00D702FD" w:rsidRPr="0046279F" w:rsidRDefault="00D702FD" w:rsidP="00D702FD">
      <w:pPr>
        <w:pStyle w:val="Lijstalinea"/>
        <w:numPr>
          <w:ilvl w:val="0"/>
          <w:numId w:val="21"/>
        </w:numPr>
        <w:spacing w:after="200" w:line="276" w:lineRule="auto"/>
        <w:rPr>
          <w:rFonts w:cs="Arial"/>
          <w:b/>
        </w:rPr>
      </w:pPr>
      <w:r w:rsidRPr="0046279F">
        <w:rPr>
          <w:rFonts w:cs="Arial"/>
          <w:b/>
        </w:rPr>
        <w:lastRenderedPageBreak/>
        <w:t>Vacatures GCR</w:t>
      </w:r>
    </w:p>
    <w:p w:rsidR="00782E93" w:rsidRPr="0046279F" w:rsidRDefault="00782E93" w:rsidP="00782E93">
      <w:pPr>
        <w:pStyle w:val="Lijstalinea"/>
        <w:numPr>
          <w:ilvl w:val="0"/>
          <w:numId w:val="0"/>
        </w:numPr>
        <w:spacing w:after="200" w:line="276" w:lineRule="auto"/>
        <w:ind w:left="720"/>
        <w:rPr>
          <w:rFonts w:cs="Arial"/>
        </w:rPr>
      </w:pPr>
      <w:r w:rsidRPr="0046279F">
        <w:rPr>
          <w:rFonts w:cs="Arial"/>
        </w:rPr>
        <w:t xml:space="preserve">Er zijn 2 reactie gekomen. </w:t>
      </w:r>
      <w:r w:rsidR="008E6CEC">
        <w:rPr>
          <w:rFonts w:cs="Arial"/>
        </w:rPr>
        <w:t xml:space="preserve">Dit valt tegen. </w:t>
      </w:r>
      <w:r w:rsidR="00634BCD">
        <w:rPr>
          <w:rFonts w:cs="Arial"/>
        </w:rPr>
        <w:t>Ton doet de oproep om binnen ieders</w:t>
      </w:r>
      <w:r w:rsidR="008E6CEC">
        <w:rPr>
          <w:rFonts w:cs="Arial"/>
        </w:rPr>
        <w:t xml:space="preserve"> eigen netwerk te kijken en te vragen of</w:t>
      </w:r>
      <w:r w:rsidR="00634BCD">
        <w:rPr>
          <w:rFonts w:cs="Arial"/>
        </w:rPr>
        <w:t xml:space="preserve"> er</w:t>
      </w:r>
      <w:r w:rsidR="008E6CEC">
        <w:rPr>
          <w:rFonts w:cs="Arial"/>
        </w:rPr>
        <w:t xml:space="preserve"> mensen zijn die wellicht bij de GCR willen/kunnen. </w:t>
      </w:r>
    </w:p>
    <w:p w:rsidR="008E6CEC" w:rsidRPr="008E6CEC" w:rsidRDefault="00782E93" w:rsidP="00184BB9">
      <w:pPr>
        <w:pStyle w:val="Lijstalinea"/>
        <w:numPr>
          <w:ilvl w:val="0"/>
          <w:numId w:val="21"/>
        </w:numPr>
        <w:spacing w:after="200" w:line="276" w:lineRule="auto"/>
        <w:rPr>
          <w:rFonts w:cs="Arial"/>
        </w:rPr>
      </w:pPr>
      <w:r w:rsidRPr="0046279F">
        <w:rPr>
          <w:rFonts w:cs="Arial"/>
          <w:b/>
        </w:rPr>
        <w:t xml:space="preserve">Rondvraag </w:t>
      </w:r>
    </w:p>
    <w:p w:rsidR="008E6CEC" w:rsidRDefault="008E6CEC" w:rsidP="008E6CEC">
      <w:pPr>
        <w:pStyle w:val="Lijstalinea"/>
        <w:numPr>
          <w:ilvl w:val="0"/>
          <w:numId w:val="24"/>
        </w:numPr>
        <w:spacing w:after="200" w:line="276" w:lineRule="auto"/>
        <w:rPr>
          <w:rFonts w:cs="Arial"/>
        </w:rPr>
      </w:pPr>
      <w:r>
        <w:rPr>
          <w:rFonts w:cs="Arial"/>
        </w:rPr>
        <w:t>Carla vraagt naar de s</w:t>
      </w:r>
      <w:r w:rsidR="00782E93" w:rsidRPr="0046279F">
        <w:rPr>
          <w:rFonts w:cs="Arial"/>
        </w:rPr>
        <w:t>tand van zaken rondom verordening re-integratie. Paul, Guido e</w:t>
      </w:r>
      <w:r>
        <w:rPr>
          <w:rFonts w:cs="Arial"/>
        </w:rPr>
        <w:t xml:space="preserve">n Anouk zijn betrokken hierbij. Hier is alleen vanuit Paul al een reactie gekomen. </w:t>
      </w:r>
    </w:p>
    <w:p w:rsidR="008E6CEC" w:rsidRDefault="00782E93" w:rsidP="008E6CEC">
      <w:pPr>
        <w:pStyle w:val="Lijstalinea"/>
        <w:numPr>
          <w:ilvl w:val="0"/>
          <w:numId w:val="24"/>
        </w:numPr>
        <w:spacing w:after="200" w:line="276" w:lineRule="auto"/>
        <w:rPr>
          <w:rFonts w:cs="Arial"/>
        </w:rPr>
      </w:pPr>
      <w:r w:rsidRPr="0046279F">
        <w:rPr>
          <w:rFonts w:cs="Arial"/>
        </w:rPr>
        <w:t xml:space="preserve">Ton gaat naar de stadsconferentie armoede &amp; schulden op 31 oktober. </w:t>
      </w:r>
    </w:p>
    <w:p w:rsidR="008E6CEC" w:rsidRDefault="00782E93" w:rsidP="008E6CEC">
      <w:pPr>
        <w:pStyle w:val="Lijstalinea"/>
        <w:numPr>
          <w:ilvl w:val="0"/>
          <w:numId w:val="24"/>
        </w:numPr>
        <w:spacing w:after="200" w:line="276" w:lineRule="auto"/>
        <w:rPr>
          <w:rFonts w:cs="Arial"/>
        </w:rPr>
      </w:pPr>
      <w:r w:rsidRPr="0046279F">
        <w:rPr>
          <w:rFonts w:cs="Arial"/>
        </w:rPr>
        <w:t xml:space="preserve">Carla gaat naar de bijeenkomst over inclusie op 2 november. </w:t>
      </w:r>
    </w:p>
    <w:p w:rsidR="008E6CEC" w:rsidRDefault="00184BB9" w:rsidP="008E6CEC">
      <w:pPr>
        <w:pStyle w:val="Lijstalinea"/>
        <w:numPr>
          <w:ilvl w:val="0"/>
          <w:numId w:val="24"/>
        </w:numPr>
        <w:spacing w:after="200" w:line="276" w:lineRule="auto"/>
        <w:rPr>
          <w:rFonts w:cs="Arial"/>
        </w:rPr>
      </w:pPr>
      <w:r w:rsidRPr="0046279F">
        <w:rPr>
          <w:rFonts w:cs="Arial"/>
        </w:rPr>
        <w:t xml:space="preserve">Arjola gaat naar de bijeenkomst van gedeelde zorg op 9 november. </w:t>
      </w:r>
    </w:p>
    <w:p w:rsidR="00901056" w:rsidRDefault="00184BB9" w:rsidP="008E6CEC">
      <w:pPr>
        <w:pStyle w:val="Lijstalinea"/>
        <w:numPr>
          <w:ilvl w:val="0"/>
          <w:numId w:val="24"/>
        </w:numPr>
        <w:spacing w:after="200" w:line="276" w:lineRule="auto"/>
        <w:rPr>
          <w:rFonts w:cs="Arial"/>
        </w:rPr>
      </w:pPr>
      <w:r w:rsidRPr="0046279F">
        <w:rPr>
          <w:rFonts w:cs="Arial"/>
        </w:rPr>
        <w:t xml:space="preserve">23 november is een bijeenkomst van de Goudse Sportraad. De GCR heeft hiervoor ook een uitnodiging gekregen, deze is rondgestuurd. </w:t>
      </w:r>
    </w:p>
    <w:p w:rsidR="00901056" w:rsidRDefault="00184BB9" w:rsidP="008E6CEC">
      <w:pPr>
        <w:pStyle w:val="Lijstalinea"/>
        <w:numPr>
          <w:ilvl w:val="0"/>
          <w:numId w:val="24"/>
        </w:numPr>
        <w:spacing w:after="200" w:line="276" w:lineRule="auto"/>
        <w:rPr>
          <w:rFonts w:cs="Arial"/>
        </w:rPr>
      </w:pPr>
      <w:r w:rsidRPr="0046279F">
        <w:rPr>
          <w:rFonts w:cs="Arial"/>
        </w:rPr>
        <w:t>Vanmiddag is de GASD vergadering</w:t>
      </w:r>
      <w:r w:rsidR="00901056">
        <w:rPr>
          <w:rFonts w:cs="Arial"/>
        </w:rPr>
        <w:t>. Anna van Popering komt langs</w:t>
      </w:r>
    </w:p>
    <w:p w:rsidR="00184BB9" w:rsidRPr="0046279F" w:rsidRDefault="00C8015A" w:rsidP="008E6CEC">
      <w:pPr>
        <w:pStyle w:val="Lijstalinea"/>
        <w:numPr>
          <w:ilvl w:val="0"/>
          <w:numId w:val="24"/>
        </w:numPr>
        <w:spacing w:after="200" w:line="276" w:lineRule="auto"/>
        <w:rPr>
          <w:rFonts w:cs="Arial"/>
        </w:rPr>
      </w:pPr>
      <w:r w:rsidRPr="0046279F">
        <w:rPr>
          <w:rFonts w:cs="Arial"/>
        </w:rPr>
        <w:t>Tip: de</w:t>
      </w:r>
      <w:r w:rsidR="00901056">
        <w:rPr>
          <w:rFonts w:cs="Arial"/>
        </w:rPr>
        <w:t xml:space="preserve"> </w:t>
      </w:r>
      <w:proofErr w:type="spellStart"/>
      <w:r w:rsidR="00901056">
        <w:rPr>
          <w:rFonts w:cs="Arial"/>
        </w:rPr>
        <w:t>webinars</w:t>
      </w:r>
      <w:proofErr w:type="spellEnd"/>
      <w:r w:rsidR="00901056">
        <w:rPr>
          <w:rFonts w:cs="Arial"/>
        </w:rPr>
        <w:t xml:space="preserve"> van Koepel A</w:t>
      </w:r>
      <w:r w:rsidRPr="0046279F">
        <w:rPr>
          <w:rFonts w:cs="Arial"/>
        </w:rPr>
        <w:t>dviesraden sociaal domein zijn heel interessant. 13 november is</w:t>
      </w:r>
      <w:r w:rsidR="00901056">
        <w:rPr>
          <w:rFonts w:cs="Arial"/>
        </w:rPr>
        <w:t xml:space="preserve"> bijvoorbeeld</w:t>
      </w:r>
      <w:r w:rsidRPr="0046279F">
        <w:rPr>
          <w:rFonts w:cs="Arial"/>
        </w:rPr>
        <w:t xml:space="preserve"> een </w:t>
      </w:r>
      <w:proofErr w:type="spellStart"/>
      <w:r w:rsidRPr="0046279F">
        <w:rPr>
          <w:rFonts w:cs="Arial"/>
        </w:rPr>
        <w:t>webinar</w:t>
      </w:r>
      <w:proofErr w:type="spellEnd"/>
      <w:r w:rsidRPr="0046279F">
        <w:rPr>
          <w:rFonts w:cs="Arial"/>
        </w:rPr>
        <w:t xml:space="preserve"> over mantelzorg en </w:t>
      </w:r>
      <w:r w:rsidR="00901056">
        <w:rPr>
          <w:rFonts w:cs="Arial"/>
        </w:rPr>
        <w:t xml:space="preserve">ook binnenkort </w:t>
      </w:r>
      <w:r w:rsidRPr="0046279F">
        <w:rPr>
          <w:rFonts w:cs="Arial"/>
        </w:rPr>
        <w:t xml:space="preserve">de Hanny van Leeuwen lezing over jeugdzorg. </w:t>
      </w:r>
    </w:p>
    <w:p w:rsidR="00303C4D" w:rsidRPr="0046279F" w:rsidRDefault="00303C4D" w:rsidP="00303C4D">
      <w:pPr>
        <w:spacing w:after="200" w:line="276" w:lineRule="auto"/>
        <w:rPr>
          <w:rFonts w:cs="Arial"/>
        </w:rPr>
      </w:pPr>
      <w:bookmarkStart w:id="0" w:name="_GoBack"/>
      <w:bookmarkEnd w:id="0"/>
    </w:p>
    <w:sectPr w:rsidR="00303C4D" w:rsidRPr="0046279F" w:rsidSect="0083205F">
      <w:footerReference w:type="default" r:id="rId9"/>
      <w:footerReference w:type="first" r:id="rId10"/>
      <w:pgSz w:w="11906" w:h="16838"/>
      <w:pgMar w:top="1417" w:right="1417" w:bottom="1417"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A6" w:rsidRDefault="00EA0DA6" w:rsidP="00F70BDC">
      <w:r>
        <w:separator/>
      </w:r>
    </w:p>
  </w:endnote>
  <w:endnote w:type="continuationSeparator" w:id="0">
    <w:p w:rsidR="00EA0DA6" w:rsidRDefault="00EA0DA6"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70" w:type="dxa"/>
      </w:tblCellMar>
      <w:tblLook w:val="0000" w:firstRow="0" w:lastRow="0" w:firstColumn="0" w:lastColumn="0" w:noHBand="0" w:noVBand="0"/>
    </w:tblPr>
    <w:tblGrid>
      <w:gridCol w:w="6056"/>
      <w:gridCol w:w="255"/>
      <w:gridCol w:w="3045"/>
    </w:tblGrid>
    <w:tr w:rsidR="00DB5DCA" w:rsidTr="00C61293">
      <w:trPr>
        <w:trHeight w:val="595"/>
      </w:trPr>
      <w:tc>
        <w:tcPr>
          <w:tcW w:w="6056" w:type="dxa"/>
        </w:tcPr>
        <w:p w:rsidR="00DB5DCA" w:rsidRDefault="00DB5DCA" w:rsidP="00DB5DCA">
          <w:pPr>
            <w:snapToGrid w:val="0"/>
            <w:contextualSpacing/>
            <w:rPr>
              <w:sz w:val="14"/>
              <w:szCs w:val="14"/>
            </w:rPr>
          </w:pPr>
          <w:bookmarkStart w:id="1" w:name="_Hlk148006324"/>
        </w:p>
      </w:tc>
      <w:tc>
        <w:tcPr>
          <w:tcW w:w="255" w:type="dxa"/>
        </w:tcPr>
        <w:p w:rsidR="00DB5DCA" w:rsidRPr="00CA7519" w:rsidRDefault="00DB5DCA" w:rsidP="00DB5DCA">
          <w:pPr>
            <w:snapToGrid w:val="0"/>
            <w:contextualSpacing/>
            <w:rPr>
              <w:sz w:val="16"/>
            </w:rPr>
          </w:pPr>
          <w:r>
            <w:rPr>
              <w:noProof/>
            </w:rPr>
            <mc:AlternateContent>
              <mc:Choice Requires="wps">
                <w:drawing>
                  <wp:anchor distT="0" distB="0" distL="114300" distR="114300" simplePos="0" relativeHeight="251659264" behindDoc="0" locked="0" layoutInCell="1" allowOverlap="1" wp14:anchorId="61E1BC23" wp14:editId="2BFB6C0C">
                    <wp:simplePos x="0" y="0"/>
                    <wp:positionH relativeFrom="leftMargin">
                      <wp:posOffset>146685</wp:posOffset>
                    </wp:positionH>
                    <wp:positionV relativeFrom="topMargin">
                      <wp:posOffset>-2540</wp:posOffset>
                    </wp:positionV>
                    <wp:extent cx="2277745" cy="233680"/>
                    <wp:effectExtent l="3810" t="0" r="4445"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DCA" w:rsidRPr="00DB157A" w:rsidRDefault="00DB5DCA" w:rsidP="00DB5DCA">
                                <w:pPr>
                                  <w:tabs>
                                    <w:tab w:val="left" w:pos="142"/>
                                  </w:tabs>
                                  <w:contextualSpacing/>
                                  <w:rPr>
                                    <w:sz w:val="14"/>
                                    <w:szCs w:val="14"/>
                                  </w:rPr>
                                </w:pPr>
                                <w:r>
                                  <w:rPr>
                                    <w:sz w:val="14"/>
                                    <w:szCs w:val="14"/>
                                  </w:rPr>
                                  <w:t xml:space="preserve">pagina </w:t>
                                </w:r>
                                <w:r w:rsidRPr="00D30F8E">
                                  <w:rPr>
                                    <w:sz w:val="14"/>
                                    <w:szCs w:val="14"/>
                                  </w:rPr>
                                  <w:fldChar w:fldCharType="begin"/>
                                </w:r>
                                <w:r w:rsidRPr="00D30F8E">
                                  <w:rPr>
                                    <w:sz w:val="14"/>
                                    <w:szCs w:val="14"/>
                                  </w:rPr>
                                  <w:instrText>PAGE   \* MERGEFORMAT</w:instrText>
                                </w:r>
                                <w:r w:rsidRPr="00D30F8E">
                                  <w:rPr>
                                    <w:sz w:val="14"/>
                                    <w:szCs w:val="14"/>
                                  </w:rPr>
                                  <w:fldChar w:fldCharType="separate"/>
                                </w:r>
                                <w:r w:rsidR="00634BCD">
                                  <w:rPr>
                                    <w:noProof/>
                                    <w:sz w:val="14"/>
                                    <w:szCs w:val="14"/>
                                  </w:rPr>
                                  <w:t>3</w:t>
                                </w:r>
                                <w:r w:rsidRPr="00D30F8E">
                                  <w:rPr>
                                    <w:sz w:val="14"/>
                                    <w:szCs w:val="1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1BC23" id="_x0000_t202" coordsize="21600,21600" o:spt="202" path="m,l,21600r21600,l21600,xe">
                    <v:stroke joinstyle="miter"/>
                    <v:path gradientshapeok="t" o:connecttype="rect"/>
                  </v:shapetype>
                  <v:shape id="Text Box 1025" o:spid="_x0000_s1026" type="#_x0000_t202" style="position:absolute;margin-left:11.55pt;margin-top:-.2pt;width:179.35pt;height:18.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Z7sg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" filled="f" stroked="f">
                    <v:textbox inset="0,0,0,0">
                      <w:txbxContent>
                        <w:p w:rsidR="00DB5DCA" w:rsidRPr="00DB157A" w:rsidRDefault="00DB5DCA" w:rsidP="00DB5DCA">
                          <w:pPr>
                            <w:tabs>
                              <w:tab w:val="left" w:pos="142"/>
                            </w:tabs>
                            <w:contextualSpacing/>
                            <w:rPr>
                              <w:sz w:val="14"/>
                              <w:szCs w:val="14"/>
                            </w:rPr>
                          </w:pPr>
                          <w:r>
                            <w:rPr>
                              <w:sz w:val="14"/>
                              <w:szCs w:val="14"/>
                            </w:rPr>
                            <w:t xml:space="preserve">pagina </w:t>
                          </w:r>
                          <w:r w:rsidRPr="00D30F8E">
                            <w:rPr>
                              <w:sz w:val="14"/>
                              <w:szCs w:val="14"/>
                            </w:rPr>
                            <w:fldChar w:fldCharType="begin"/>
                          </w:r>
                          <w:r w:rsidRPr="00D30F8E">
                            <w:rPr>
                              <w:sz w:val="14"/>
                              <w:szCs w:val="14"/>
                            </w:rPr>
                            <w:instrText>PAGE   \* MERGEFORMAT</w:instrText>
                          </w:r>
                          <w:r w:rsidRPr="00D30F8E">
                            <w:rPr>
                              <w:sz w:val="14"/>
                              <w:szCs w:val="14"/>
                            </w:rPr>
                            <w:fldChar w:fldCharType="separate"/>
                          </w:r>
                          <w:r w:rsidR="00634BCD">
                            <w:rPr>
                              <w:noProof/>
                              <w:sz w:val="14"/>
                              <w:szCs w:val="14"/>
                            </w:rPr>
                            <w:t>3</w:t>
                          </w:r>
                          <w:r w:rsidRPr="00D30F8E">
                            <w:rPr>
                              <w:sz w:val="14"/>
                              <w:szCs w:val="14"/>
                            </w:rPr>
                            <w:fldChar w:fldCharType="end"/>
                          </w:r>
                        </w:p>
                      </w:txbxContent>
                    </v:textbox>
                    <w10:wrap anchorx="margin" anchory="margin"/>
                  </v:shape>
                </w:pict>
              </mc:Fallback>
            </mc:AlternateContent>
          </w:r>
        </w:p>
      </w:tc>
      <w:tc>
        <w:tcPr>
          <w:tcW w:w="3045" w:type="dxa"/>
        </w:tcPr>
        <w:p w:rsidR="00DB5DCA" w:rsidRPr="001627A8" w:rsidRDefault="00DB5DCA" w:rsidP="00DB5DCA">
          <w:pPr>
            <w:snapToGrid w:val="0"/>
            <w:contextualSpacing/>
            <w:rPr>
              <w:i/>
              <w:sz w:val="14"/>
              <w:szCs w:val="14"/>
            </w:rPr>
          </w:pPr>
        </w:p>
      </w:tc>
    </w:tr>
  </w:tbl>
  <w:bookmarkEnd w:id="1"/>
  <w:p w:rsidR="004B1794" w:rsidRPr="00DB5DCA" w:rsidRDefault="00DB5DCA" w:rsidP="00DB5DCA">
    <w:pPr>
      <w:pStyle w:val="Voettekst"/>
      <w:tabs>
        <w:tab w:val="clear" w:pos="4536"/>
        <w:tab w:val="clear" w:pos="9072"/>
        <w:tab w:val="right" w:pos="6047"/>
        <w:tab w:val="left" w:pos="6495"/>
      </w:tabs>
    </w:pPr>
    <w:r>
      <w:rPr>
        <w:noProof/>
        <w:sz w:val="14"/>
        <w:szCs w:val="14"/>
      </w:rPr>
      <w:drawing>
        <wp:anchor distT="0" distB="0" distL="114300" distR="114300" simplePos="0" relativeHeight="251660288" behindDoc="1" locked="0" layoutInCell="1" allowOverlap="1" wp14:anchorId="676CE053" wp14:editId="56E6B36E">
          <wp:simplePos x="0" y="0"/>
          <wp:positionH relativeFrom="column">
            <wp:posOffset>-716280</wp:posOffset>
          </wp:positionH>
          <wp:positionV relativeFrom="paragraph">
            <wp:posOffset>-472440</wp:posOffset>
          </wp:positionV>
          <wp:extent cx="1799848" cy="612649"/>
          <wp:effectExtent l="0" t="0" r="0" b="0"/>
          <wp:wrapNone/>
          <wp:docPr id="18" name="Afbeelding 18"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Lettertype, Graphics, grafische vormgeving,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848" cy="61264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70" w:type="dxa"/>
      </w:tblCellMar>
      <w:tblLook w:val="0000" w:firstRow="0" w:lastRow="0" w:firstColumn="0" w:lastColumn="0" w:noHBand="0" w:noVBand="0"/>
    </w:tblPr>
    <w:tblGrid>
      <w:gridCol w:w="6056"/>
      <w:gridCol w:w="255"/>
      <w:gridCol w:w="3045"/>
    </w:tblGrid>
    <w:tr w:rsidR="00683009" w:rsidTr="00C61293">
      <w:trPr>
        <w:trHeight w:val="595"/>
      </w:trPr>
      <w:tc>
        <w:tcPr>
          <w:tcW w:w="6056" w:type="dxa"/>
        </w:tcPr>
        <w:p w:rsidR="00683009" w:rsidRDefault="00683009" w:rsidP="00683009">
          <w:pPr>
            <w:snapToGrid w:val="0"/>
            <w:contextualSpacing/>
            <w:rPr>
              <w:sz w:val="14"/>
              <w:szCs w:val="14"/>
            </w:rPr>
          </w:pPr>
        </w:p>
        <w:p w:rsidR="00683009" w:rsidRPr="002F5990" w:rsidRDefault="00683009" w:rsidP="00683009">
          <w:pPr>
            <w:tabs>
              <w:tab w:val="left" w:pos="1344"/>
            </w:tabs>
            <w:rPr>
              <w:sz w:val="14"/>
              <w:szCs w:val="14"/>
            </w:rPr>
          </w:pPr>
          <w:r>
            <w:rPr>
              <w:sz w:val="14"/>
              <w:szCs w:val="14"/>
            </w:rPr>
            <w:tab/>
          </w:r>
        </w:p>
      </w:tc>
      <w:tc>
        <w:tcPr>
          <w:tcW w:w="255" w:type="dxa"/>
        </w:tcPr>
        <w:p w:rsidR="00683009" w:rsidRDefault="00683009" w:rsidP="00683009">
          <w:pPr>
            <w:snapToGrid w:val="0"/>
            <w:contextualSpacing/>
            <w:rPr>
              <w:noProof/>
            </w:rPr>
          </w:pPr>
          <w:r>
            <w:rPr>
              <w:noProof/>
            </w:rPr>
            <mc:AlternateContent>
              <mc:Choice Requires="wps">
                <w:drawing>
                  <wp:anchor distT="0" distB="0" distL="114300" distR="114300" simplePos="0" relativeHeight="251662336" behindDoc="0" locked="0" layoutInCell="1" allowOverlap="1" wp14:anchorId="49B32444" wp14:editId="78832BE0">
                    <wp:simplePos x="0" y="0"/>
                    <wp:positionH relativeFrom="leftMargin">
                      <wp:posOffset>146685</wp:posOffset>
                    </wp:positionH>
                    <wp:positionV relativeFrom="topMargin">
                      <wp:posOffset>6350</wp:posOffset>
                    </wp:positionV>
                    <wp:extent cx="2277745" cy="233680"/>
                    <wp:effectExtent l="3810" t="0" r="444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009" w:rsidRPr="00DB157A" w:rsidRDefault="00683009" w:rsidP="00683009">
                                <w:pPr>
                                  <w:tabs>
                                    <w:tab w:val="left" w:pos="142"/>
                                  </w:tabs>
                                  <w:contextualSpacing/>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32444" id="_x0000_t202" coordsize="21600,21600" o:spt="202" path="m,l,21600r21600,l21600,xe">
                    <v:stroke joinstyle="miter"/>
                    <v:path gradientshapeok="t" o:connecttype="rect"/>
                  </v:shapetype>
                  <v:shape id="Text Box 1026" o:spid="_x0000_s1027" type="#_x0000_t202" style="position:absolute;margin-left:11.55pt;margin-top:.5pt;width:179.35pt;height:18.4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" filled="f" stroked="f">
                    <v:textbox inset="0,0,0,0">
                      <w:txbxContent>
                        <w:p w:rsidR="00683009" w:rsidRPr="00DB157A" w:rsidRDefault="00683009" w:rsidP="00683009">
                          <w:pPr>
                            <w:tabs>
                              <w:tab w:val="left" w:pos="142"/>
                            </w:tabs>
                            <w:contextualSpacing/>
                            <w:rPr>
                              <w:sz w:val="14"/>
                              <w:szCs w:val="14"/>
                            </w:rPr>
                          </w:pPr>
                        </w:p>
                      </w:txbxContent>
                    </v:textbox>
                    <w10:wrap anchorx="margin" anchory="margin"/>
                  </v:shape>
                </w:pict>
              </mc:Fallback>
            </mc:AlternateContent>
          </w:r>
        </w:p>
      </w:tc>
      <w:tc>
        <w:tcPr>
          <w:tcW w:w="3045" w:type="dxa"/>
        </w:tcPr>
        <w:p w:rsidR="00683009" w:rsidRPr="001627A8" w:rsidRDefault="00683009" w:rsidP="00683009">
          <w:pPr>
            <w:snapToGrid w:val="0"/>
            <w:contextualSpacing/>
            <w:rPr>
              <w:i/>
              <w:sz w:val="14"/>
              <w:szCs w:val="14"/>
            </w:rPr>
          </w:pPr>
        </w:p>
      </w:tc>
    </w:tr>
  </w:tbl>
  <w:p w:rsidR="00683009" w:rsidRDefault="00683009" w:rsidP="00683009">
    <w:pPr>
      <w:pStyle w:val="Voettekst"/>
      <w:tabs>
        <w:tab w:val="clear" w:pos="4536"/>
        <w:tab w:val="clear" w:pos="9072"/>
        <w:tab w:val="right" w:pos="6047"/>
      </w:tabs>
      <w:rPr>
        <w:lang w:bidi="en-US"/>
      </w:rPr>
    </w:pPr>
    <w:r>
      <w:rPr>
        <w:noProof/>
        <w:sz w:val="14"/>
        <w:szCs w:val="14"/>
      </w:rPr>
      <w:drawing>
        <wp:anchor distT="0" distB="0" distL="114300" distR="114300" simplePos="0" relativeHeight="251663360" behindDoc="1" locked="0" layoutInCell="1" allowOverlap="1" wp14:anchorId="5B373526" wp14:editId="6FFEC78C">
          <wp:simplePos x="0" y="0"/>
          <wp:positionH relativeFrom="column">
            <wp:posOffset>-716280</wp:posOffset>
          </wp:positionH>
          <wp:positionV relativeFrom="page">
            <wp:posOffset>10073640</wp:posOffset>
          </wp:positionV>
          <wp:extent cx="1799590" cy="612140"/>
          <wp:effectExtent l="0" t="0" r="0" b="0"/>
          <wp:wrapNone/>
          <wp:docPr id="19" name="Afbeelding 19"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Lettertype, Graphics, grafische vormgeving, logo&#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121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A6" w:rsidRDefault="00EA0DA6" w:rsidP="00F70BDC">
      <w:r>
        <w:separator/>
      </w:r>
    </w:p>
  </w:footnote>
  <w:footnote w:type="continuationSeparator" w:id="0">
    <w:p w:rsidR="00EA0DA6" w:rsidRDefault="00EA0DA6" w:rsidP="00F7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5"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4B0E07"/>
    <w:multiLevelType w:val="hybridMultilevel"/>
    <w:tmpl w:val="2AC8AE94"/>
    <w:lvl w:ilvl="0" w:tplc="3A64880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42992247"/>
    <w:multiLevelType w:val="hybridMultilevel"/>
    <w:tmpl w:val="13BC52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995757"/>
    <w:multiLevelType w:val="hybridMultilevel"/>
    <w:tmpl w:val="BC6ABA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E90390"/>
    <w:multiLevelType w:val="hybridMultilevel"/>
    <w:tmpl w:val="7646C4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10"/>
  </w:num>
  <w:num w:numId="6">
    <w:abstractNumId w:val="11"/>
    <w:lvlOverride w:ilvl="0">
      <w:startOverride w:val="1"/>
    </w:lvlOverride>
    <w:lvlOverride w:ilvl="1">
      <w:startOverride w:val="1"/>
    </w:lvlOverride>
  </w:num>
  <w:num w:numId="7">
    <w:abstractNumId w:val="18"/>
  </w:num>
  <w:num w:numId="8">
    <w:abstractNumId w:val="9"/>
  </w:num>
  <w:num w:numId="9">
    <w:abstractNumId w:val="15"/>
  </w:num>
  <w:num w:numId="10">
    <w:abstractNumId w:val="21"/>
  </w:num>
  <w:num w:numId="11">
    <w:abstractNumId w:val="13"/>
  </w:num>
  <w:num w:numId="12">
    <w:abstractNumId w:val="19"/>
  </w:num>
  <w:num w:numId="13">
    <w:abstractNumId w:val="1"/>
  </w:num>
  <w:num w:numId="14">
    <w:abstractNumId w:val="0"/>
  </w:num>
  <w:num w:numId="15">
    <w:abstractNumId w:val="17"/>
  </w:num>
  <w:num w:numId="16">
    <w:abstractNumId w:val="8"/>
  </w:num>
  <w:num w:numId="17">
    <w:abstractNumId w:val="5"/>
  </w:num>
  <w:num w:numId="18">
    <w:abstractNumId w:val="20"/>
  </w:num>
  <w:num w:numId="19">
    <w:abstractNumId w:val="22"/>
  </w:num>
  <w:num w:numId="20">
    <w:abstractNumId w:val="3"/>
  </w:num>
  <w:num w:numId="21">
    <w:abstractNumId w:val="16"/>
  </w:num>
  <w:num w:numId="22">
    <w:abstractNumId w:val="7"/>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A6"/>
    <w:rsid w:val="000D743B"/>
    <w:rsid w:val="00184BB9"/>
    <w:rsid w:val="00254F9C"/>
    <w:rsid w:val="002931B7"/>
    <w:rsid w:val="00303C4D"/>
    <w:rsid w:val="00307396"/>
    <w:rsid w:val="00406312"/>
    <w:rsid w:val="004157C1"/>
    <w:rsid w:val="004258D4"/>
    <w:rsid w:val="0046279F"/>
    <w:rsid w:val="00482248"/>
    <w:rsid w:val="004B1794"/>
    <w:rsid w:val="004B2CB8"/>
    <w:rsid w:val="00517D5D"/>
    <w:rsid w:val="005D12D5"/>
    <w:rsid w:val="00634BCD"/>
    <w:rsid w:val="006466C4"/>
    <w:rsid w:val="00683009"/>
    <w:rsid w:val="0068410A"/>
    <w:rsid w:val="006F655F"/>
    <w:rsid w:val="00745448"/>
    <w:rsid w:val="00782E93"/>
    <w:rsid w:val="008206E2"/>
    <w:rsid w:val="0083205F"/>
    <w:rsid w:val="008D388C"/>
    <w:rsid w:val="008E6CEC"/>
    <w:rsid w:val="00901056"/>
    <w:rsid w:val="009414AA"/>
    <w:rsid w:val="009555F0"/>
    <w:rsid w:val="009741D1"/>
    <w:rsid w:val="009B04B3"/>
    <w:rsid w:val="00AB381C"/>
    <w:rsid w:val="00B43F5E"/>
    <w:rsid w:val="00C713C3"/>
    <w:rsid w:val="00C73547"/>
    <w:rsid w:val="00C76FD9"/>
    <w:rsid w:val="00C8015A"/>
    <w:rsid w:val="00CF722C"/>
    <w:rsid w:val="00D702FD"/>
    <w:rsid w:val="00DB5DCA"/>
    <w:rsid w:val="00E07BF5"/>
    <w:rsid w:val="00E375DB"/>
    <w:rsid w:val="00EA0DA6"/>
    <w:rsid w:val="00EF1111"/>
    <w:rsid w:val="00F338CE"/>
    <w:rsid w:val="00F70BDC"/>
    <w:rsid w:val="00FD0A19"/>
    <w:rsid w:val="00FE2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A7636"/>
  <w15:chartTrackingRefBased/>
  <w15:docId w15:val="{CB977480-37F3-4748-9CCD-F0C58574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unhideWhenUsed/>
    <w:rsid w:val="00CE441D"/>
    <w:pPr>
      <w:tabs>
        <w:tab w:val="center" w:pos="4536"/>
        <w:tab w:val="right" w:pos="9072"/>
      </w:tabs>
    </w:pPr>
  </w:style>
  <w:style w:type="character" w:customStyle="1" w:styleId="KoptekstChar">
    <w:name w:val="Koptekst Char"/>
    <w:basedOn w:val="Standaardalinea-lettertype"/>
    <w:link w:val="Koptekst"/>
    <w:uiPriority w:val="99"/>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AGeenafstandBoldChar">
    <w:name w:val="GDA Geen afstand Bold Char"/>
    <w:link w:val="GDAGeenafstandBold"/>
    <w:qFormat/>
    <w:locked/>
    <w:rsid w:val="00F338CE"/>
    <w:rPr>
      <w:rFonts w:ascii="Arial" w:hAnsi="Arial" w:cs="Arial"/>
      <w:b/>
    </w:rPr>
  </w:style>
  <w:style w:type="paragraph" w:customStyle="1" w:styleId="GDAGeenafstandBold">
    <w:name w:val="GDA Geen afstand Bold"/>
    <w:link w:val="GDAGeenafstandBoldChar"/>
    <w:qFormat/>
    <w:rsid w:val="00F338CE"/>
    <w:pPr>
      <w:spacing w:after="0" w:line="240" w:lineRule="auto"/>
    </w:pPr>
    <w:rPr>
      <w:rFonts w:ascii="Arial" w:hAnsi="Arial" w:cs="Arial"/>
      <w:b/>
    </w:rPr>
  </w:style>
  <w:style w:type="character" w:customStyle="1" w:styleId="GDAReferentiekopChar">
    <w:name w:val="GDA Referentiekop Char"/>
    <w:basedOn w:val="Standaardalinea-lettertype"/>
    <w:link w:val="GDAReferentiekop"/>
    <w:locked/>
    <w:rsid w:val="00F338CE"/>
    <w:rPr>
      <w:rFonts w:ascii="Arial" w:hAnsi="Arial" w:cs="Arial"/>
    </w:rPr>
  </w:style>
  <w:style w:type="paragraph" w:customStyle="1" w:styleId="GDAReferentiekop">
    <w:name w:val="GDA Referentiekop"/>
    <w:basedOn w:val="Standaard"/>
    <w:link w:val="GDAReferentiekopChar"/>
    <w:qFormat/>
    <w:rsid w:val="00F338CE"/>
    <w:pPr>
      <w:spacing w:after="200"/>
      <w:contextualSpacing/>
    </w:pPr>
    <w:rPr>
      <w:rFonts w:cs="Arial"/>
      <w:sz w:val="22"/>
      <w:szCs w:val="22"/>
      <w:lang w:val="en-US" w:eastAsia="en-US" w:bidi="en-US"/>
    </w:rPr>
  </w:style>
  <w:style w:type="character" w:customStyle="1" w:styleId="GDASubreferentiekopChar">
    <w:name w:val="GDA Subreferentiekop Char"/>
    <w:basedOn w:val="Standaardalinea-lettertype"/>
    <w:link w:val="GDASubreferentiekop"/>
    <w:locked/>
    <w:rsid w:val="00F338CE"/>
    <w:rPr>
      <w:rFonts w:ascii="Arial" w:hAnsi="Arial" w:cs="Arial"/>
      <w:sz w:val="16"/>
    </w:rPr>
  </w:style>
  <w:style w:type="paragraph" w:customStyle="1" w:styleId="GDASubreferentiekop">
    <w:name w:val="GDA Subreferentiekop"/>
    <w:basedOn w:val="Standaard"/>
    <w:link w:val="GDASubreferentiekopChar"/>
    <w:qFormat/>
    <w:rsid w:val="00F338CE"/>
    <w:pPr>
      <w:snapToGrid w:val="0"/>
      <w:contextualSpacing/>
    </w:pPr>
    <w:rPr>
      <w:rFonts w:cs="Arial"/>
      <w:sz w:val="16"/>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007E-DFEF-4F1C-B128-5082BD5F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926</Words>
  <Characters>5096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Bouma, Jolanda</dc:creator>
  <cp:keywords/>
  <dc:description/>
  <cp:lastModifiedBy>Bouma, Jolanda</cp:lastModifiedBy>
  <cp:revision>4</cp:revision>
  <dcterms:created xsi:type="dcterms:W3CDTF">2023-10-26T08:35:00Z</dcterms:created>
  <dcterms:modified xsi:type="dcterms:W3CDTF">2023-10-26T11:09:00Z</dcterms:modified>
</cp:coreProperties>
</file>